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メイリオ" w:hAnsi="メイリオ" w:eastAsia="メイリオ"/>
          <w:color w:val="1F497D"/>
          <w:sz w:val="34"/>
        </w:rPr>
        <w:t>別名義会社との関係整理図</w:t>
      </w:r>
    </w:p>
    <w:p>
      <w:pPr>
        <w:jc w:val="center"/>
      </w:pPr>
      <w:r>
        <w:rPr>
          <w:color w:val="707070"/>
          <w:sz w:val="20"/>
        </w:rPr>
        <w:t>能登バーガー企画 ／ キッチンカー・レンタルスキームと補助金の切り分け</w:t>
      </w:r>
    </w:p>
    <w:p>
      <w:r>
        <w:rPr>
          <w:color w:val="707070"/>
          <w:sz w:val="17"/>
        </w:rPr>
        <w:t>作成日：2026年6月2日　作成：CBC（米永）</w:t>
      </w:r>
    </w:p>
    <w:p/>
    <w:p>
      <w:pPr>
        <w:pStyle w:val="Heading2"/>
        <w:shd w:val="clear" w:color="auto" w:fill="C00000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1. 当事者の関係構造</w:t>
      </w:r>
    </w:p>
    <w:p>
      <w:pPr>
        <w:shd w:val="clear" w:color="auto" w:fill="FCE4D6"/>
        <w:spacing w:after="120"/>
        <w:ind w:left="170"/>
      </w:pPr>
      <w:r>
        <w:rPr>
          <w:rFonts w:ascii="メイリオ" w:hAnsi="メイリオ" w:eastAsia="メイリオ"/>
          <w:color w:val="C00000"/>
          <w:sz w:val="18"/>
        </w:rPr>
        <w:t>★ 申請者（金丸商店）と キッチンカー所有会社は「役員が重複」＝補助金上の関連当事者。</w:t>
      </w:r>
    </w:p>
    <w:p>
      <w:pPr>
        <w:spacing w:before="40" w:after="40"/>
        <w:jc w:val="center"/>
        <w:shd w:val="clear" w:color="auto" w:fill="1F497D"/>
      </w:pPr>
      <w:r>
        <w:rPr>
          <w:rFonts w:ascii="メイリオ" w:hAnsi="メイリオ" w:eastAsia="メイリオ"/>
          <w:b/>
          <w:color w:val="FFFFFF"/>
          <w:sz w:val="20"/>
        </w:rPr>
        <w:t>【補助金 申請者】　金丸商店株式会社</w:t>
      </w:r>
    </w:p>
    <w:p>
      <w:pPr>
        <w:spacing w:before="40" w:after="40"/>
        <w:jc w:val="center"/>
        <w:shd w:val="clear" w:color="auto" w:fill="DCE6F1"/>
      </w:pPr>
      <w:r>
        <w:rPr>
          <w:rFonts w:ascii="メイリオ" w:hAnsi="メイリオ" w:eastAsia="メイリオ"/>
          <w:b w:val="0"/>
          <w:color w:val="1F497D"/>
          <w:sz w:val="18"/>
        </w:rPr>
        <w:t>能登町宇出津／飲食業／能登バーガー製造・販売の主体</w:t>
      </w:r>
    </w:p>
    <w:p>
      <w:pPr>
        <w:spacing w:before="0" w:after="0"/>
        <w:jc w:val="center"/>
      </w:pPr>
      <w:r>
        <w:rPr>
          <w:rFonts w:ascii="メイリオ" w:hAnsi="メイリオ" w:eastAsia="メイリオ"/>
          <w:color w:val="555555"/>
          <w:sz w:val="20"/>
        </w:rPr>
        <w:t>▼ 役員が重複（＝関連当事者）</w:t>
      </w:r>
    </w:p>
    <w:p>
      <w:pPr>
        <w:spacing w:before="40" w:after="40"/>
        <w:jc w:val="center"/>
        <w:shd w:val="clear" w:color="auto" w:fill="7F7F7F"/>
      </w:pPr>
      <w:r>
        <w:rPr>
          <w:rFonts w:ascii="メイリオ" w:hAnsi="メイリオ" w:eastAsia="メイリオ"/>
          <w:b/>
          <w:color w:val="FFFFFF"/>
          <w:sz w:val="20"/>
        </w:rPr>
        <w:t>【キッチンカー所有】　別名義会社</w:t>
      </w:r>
    </w:p>
    <w:p>
      <w:pPr>
        <w:spacing w:before="40" w:after="40"/>
        <w:jc w:val="center"/>
        <w:shd w:val="clear" w:color="auto" w:fill="E7E6E6"/>
      </w:pPr>
      <w:r>
        <w:rPr>
          <w:rFonts w:ascii="メイリオ" w:hAnsi="メイリオ" w:eastAsia="メイリオ"/>
          <w:b w:val="0"/>
          <w:color w:val="404040"/>
          <w:sz w:val="18"/>
        </w:rPr>
        <w:t>車両を所有。金丸商店へ 1万円/日 でレンタル（月4〜8日稼働）</w:t>
      </w:r>
    </w:p>
    <w:p/>
    <w:p>
      <w:pPr>
        <w:pStyle w:val="Heading2"/>
        <w:shd w:val="clear" w:color="auto" w:fill="1F497D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2. お金とモノの流れ／補助金の切り分け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取引</w:t>
            </w:r>
          </w:p>
        </w:tc>
        <w:tc>
          <w:tcPr>
            <w:tcW w:type="dxa" w:w="2493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493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補助金の扱い</w:t>
            </w:r>
          </w:p>
        </w:tc>
        <w:tc>
          <w:tcPr>
            <w:tcW w:type="dxa" w:w="2493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処理方法</w:t>
            </w:r>
          </w:p>
        </w:tc>
      </w:tr>
      <w:tr>
        <w:tc>
          <w:tcPr>
            <w:tcW w:type="dxa" w:w="2493"/>
          </w:tcPr>
          <w:p>
            <w:r>
              <w:rPr>
                <w:rFonts w:ascii="メイリオ" w:hAnsi="メイリオ" w:eastAsia="メイリオ"/>
                <w:sz w:val="18"/>
              </w:rPr>
              <w:t>レンタル料</w:t>
            </w:r>
          </w:p>
        </w:tc>
        <w:tc>
          <w:tcPr>
            <w:tcW w:type="dxa" w:w="2493"/>
          </w:tcPr>
          <w:p>
            <w:r>
              <w:rPr>
                <w:rFonts w:ascii="メイリオ" w:hAnsi="メイリオ" w:eastAsia="メイリオ"/>
                <w:sz w:val="18"/>
              </w:rPr>
              <w:t>金丸商店 → 別名義会社へ 1万円/日</w:t>
            </w:r>
          </w:p>
        </w:tc>
        <w:tc>
          <w:tcPr>
            <w:tcW w:type="dxa" w:w="2493"/>
          </w:tcPr>
          <w:p>
            <w:r>
              <w:rPr>
                <w:rFonts w:ascii="メイリオ" w:hAnsi="メイリオ" w:eastAsia="メイリオ"/>
                <w:sz w:val="18"/>
              </w:rPr>
              <w:t>✕ 対象外（関連当事者取引）</w:t>
            </w:r>
          </w:p>
        </w:tc>
        <w:tc>
          <w:tcPr>
            <w:tcW w:type="dxa" w:w="2493"/>
          </w:tcPr>
          <w:p>
            <w:r>
              <w:rPr>
                <w:rFonts w:ascii="メイリオ" w:hAnsi="メイリオ" w:eastAsia="メイリオ"/>
                <w:sz w:val="18"/>
              </w:rPr>
              <w:t>自己負担で処理</w:t>
            </w:r>
          </w:p>
        </w:tc>
      </w:tr>
      <w:tr>
        <w:tc>
          <w:tcPr>
            <w:tcW w:type="dxa" w:w="2493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車体ラッピング</w:t>
            </w:r>
          </w:p>
        </w:tc>
        <w:tc>
          <w:tcPr>
            <w:tcW w:type="dxa" w:w="2493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別名義会社の車両に施工</w:t>
            </w:r>
          </w:p>
        </w:tc>
        <w:tc>
          <w:tcPr>
            <w:tcW w:type="dxa" w:w="2493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✕ 対象外（他社資産への投資）</w:t>
            </w:r>
          </w:p>
        </w:tc>
        <w:tc>
          <w:tcPr>
            <w:tcW w:type="dxa" w:w="2493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実施しない</w:t>
            </w:r>
          </w:p>
        </w:tc>
      </w:tr>
      <w:tr>
        <w:tc>
          <w:tcPr>
            <w:tcW w:type="dxa" w:w="2493"/>
          </w:tcPr>
          <w:p>
            <w:r>
              <w:rPr>
                <w:rFonts w:ascii="メイリオ" w:hAnsi="メイリオ" w:eastAsia="メイリオ"/>
                <w:sz w:val="18"/>
              </w:rPr>
              <w:t>マグネットシート</w:t>
            </w:r>
          </w:p>
        </w:tc>
        <w:tc>
          <w:tcPr>
            <w:tcW w:type="dxa" w:w="2493"/>
          </w:tcPr>
          <w:p>
            <w:r>
              <w:rPr>
                <w:rFonts w:ascii="メイリオ" w:hAnsi="メイリオ" w:eastAsia="メイリオ"/>
                <w:sz w:val="18"/>
              </w:rPr>
              <w:t>金丸商店が購入・所有</w:t>
            </w:r>
          </w:p>
        </w:tc>
        <w:tc>
          <w:tcPr>
            <w:tcW w:type="dxa" w:w="2493"/>
          </w:tcPr>
          <w:p>
            <w:r>
              <w:rPr>
                <w:rFonts w:ascii="メイリオ" w:hAnsi="メイリオ" w:eastAsia="メイリオ"/>
                <w:sz w:val="18"/>
              </w:rPr>
              <w:t>◎ 対象（備品購入費）</w:t>
            </w:r>
          </w:p>
        </w:tc>
        <w:tc>
          <w:tcPr>
            <w:tcW w:type="dxa" w:w="2493"/>
          </w:tcPr>
          <w:p>
            <w:r>
              <w:rPr>
                <w:rFonts w:ascii="メイリオ" w:hAnsi="メイリオ" w:eastAsia="メイリオ"/>
                <w:sz w:val="18"/>
              </w:rPr>
              <w:t>補助金に計上</w:t>
            </w:r>
          </w:p>
        </w:tc>
      </w:tr>
      <w:tr>
        <w:tc>
          <w:tcPr>
            <w:tcW w:type="dxa" w:w="2493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着脱式パネル看板</w:t>
            </w:r>
          </w:p>
        </w:tc>
        <w:tc>
          <w:tcPr>
            <w:tcW w:type="dxa" w:w="2493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金丸商店が購入・所有</w:t>
            </w:r>
          </w:p>
        </w:tc>
        <w:tc>
          <w:tcPr>
            <w:tcW w:type="dxa" w:w="2493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◎ 対象（備品/広告宣伝費）</w:t>
            </w:r>
          </w:p>
        </w:tc>
        <w:tc>
          <w:tcPr>
            <w:tcW w:type="dxa" w:w="2493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補助金に計上</w:t>
            </w:r>
          </w:p>
        </w:tc>
      </w:tr>
      <w:tr>
        <w:tc>
          <w:tcPr>
            <w:tcW w:type="dxa" w:w="2493"/>
          </w:tcPr>
          <w:p>
            <w:r>
              <w:rPr>
                <w:rFonts w:ascii="メイリオ" w:hAnsi="メイリオ" w:eastAsia="メイリオ"/>
                <w:sz w:val="18"/>
              </w:rPr>
              <w:t>商品開発・販促・HP等</w:t>
            </w:r>
          </w:p>
        </w:tc>
        <w:tc>
          <w:tcPr>
            <w:tcW w:type="dxa" w:w="2493"/>
          </w:tcPr>
          <w:p>
            <w:r>
              <w:rPr>
                <w:rFonts w:ascii="メイリオ" w:hAnsi="メイリオ" w:eastAsia="メイリオ"/>
                <w:sz w:val="18"/>
              </w:rPr>
              <w:t>第三者業者へ発注</w:t>
            </w:r>
          </w:p>
        </w:tc>
        <w:tc>
          <w:tcPr>
            <w:tcW w:type="dxa" w:w="2493"/>
          </w:tcPr>
          <w:p>
            <w:r>
              <w:rPr>
                <w:rFonts w:ascii="メイリオ" w:hAnsi="メイリオ" w:eastAsia="メイリオ"/>
                <w:sz w:val="18"/>
              </w:rPr>
              <w:t>◎ 対象</w:t>
            </w:r>
          </w:p>
        </w:tc>
        <w:tc>
          <w:tcPr>
            <w:tcW w:type="dxa" w:w="2493"/>
          </w:tcPr>
          <w:p>
            <w:r>
              <w:rPr>
                <w:rFonts w:ascii="メイリオ" w:hAnsi="メイリオ" w:eastAsia="メイリオ"/>
                <w:sz w:val="18"/>
              </w:rPr>
              <w:t>補助金に計上</w:t>
            </w:r>
          </w:p>
        </w:tc>
      </w:tr>
    </w:tbl>
    <w:p/>
    <w:p>
      <w:pPr>
        <w:pStyle w:val="Heading2"/>
        <w:shd w:val="clear" w:color="auto" w:fill="375623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3. なぜレンタル料は補助対象外なのか</w:t>
      </w:r>
    </w:p>
    <w:p>
      <w:pPr>
        <w:shd w:val="clear" w:color="auto" w:fill="E2EFDA"/>
        <w:spacing w:after="120"/>
        <w:ind w:left="170"/>
      </w:pPr>
      <w:r>
        <w:rPr>
          <w:rFonts w:ascii="メイリオ" w:hAnsi="メイリオ" w:eastAsia="メイリオ"/>
          <w:color w:val="375623"/>
          <w:sz w:val="18"/>
        </w:rPr>
        <w:t>補助金は「補助事業者が第三者に正当な対価を支払う経費」を補助する建付け。役員が重複する会社へのレンタル料は、実質的に同一グループ内で資金が回るだけと見なされ、補助の対象にならない。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論点</w:t>
            </w:r>
          </w:p>
        </w:tc>
        <w:tc>
          <w:tcPr>
            <w:tcW w:type="dxa" w:w="7087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551"/>
          </w:tcPr>
          <w:p>
            <w:r>
              <w:rPr>
                <w:rFonts w:ascii="メイリオ" w:hAnsi="メイリオ" w:eastAsia="メイリオ"/>
                <w:sz w:val="18"/>
              </w:rPr>
              <w:t>関連当事者の定義</w:t>
            </w:r>
          </w:p>
        </w:tc>
        <w:tc>
          <w:tcPr>
            <w:tcW w:type="dxa" w:w="7087"/>
          </w:tcPr>
          <w:p>
            <w:r>
              <w:rPr>
                <w:rFonts w:ascii="メイリオ" w:hAnsi="メイリオ" w:eastAsia="メイリオ"/>
                <w:sz w:val="18"/>
              </w:rPr>
              <w:t>役員・株主が重複する会社は「利害関係者」に該当</w:t>
            </w:r>
          </w:p>
        </w:tc>
      </w:tr>
      <w:tr>
        <w:tc>
          <w:tcPr>
            <w:tcW w:type="dxa" w:w="2551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資金還流の懸念</w:t>
            </w:r>
          </w:p>
        </w:tc>
        <w:tc>
          <w:tcPr>
            <w:tcW w:type="dxa" w:w="7087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グループ内取引は「補助金の自己グループへの還流」と見なされる</w:t>
            </w:r>
          </w:p>
        </w:tc>
      </w:tr>
      <w:tr>
        <w:tc>
          <w:tcPr>
            <w:tcW w:type="dxa" w:w="2551"/>
          </w:tcPr>
          <w:p>
            <w:r>
              <w:rPr>
                <w:rFonts w:ascii="メイリオ" w:hAnsi="メイリオ" w:eastAsia="メイリオ"/>
                <w:sz w:val="18"/>
              </w:rPr>
              <w:t>利益排除の原則</w:t>
            </w:r>
          </w:p>
        </w:tc>
        <w:tc>
          <w:tcPr>
            <w:tcW w:type="dxa" w:w="7087"/>
          </w:tcPr>
          <w:p>
            <w:r>
              <w:rPr>
                <w:rFonts w:ascii="メイリオ" w:hAnsi="メイリオ" w:eastAsia="メイリオ"/>
                <w:sz w:val="18"/>
              </w:rPr>
              <w:t>仮に認める場合も、市場価格以下かつ相手に利益が乗らないことの証明が必要</w:t>
            </w:r>
          </w:p>
        </w:tc>
      </w:tr>
      <w:tr>
        <w:tc>
          <w:tcPr>
            <w:tcW w:type="dxa" w:w="2551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結論</w:t>
            </w:r>
          </w:p>
        </w:tc>
        <w:tc>
          <w:tcPr>
            <w:tcW w:type="dxa" w:w="7087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レンタル料は計上せず自己負担。補助金は所有関係がクリーンな経費に集中させる</w:t>
            </w:r>
          </w:p>
        </w:tc>
      </w:tr>
    </w:tbl>
    <w:p/>
    <w:p>
      <w:pPr>
        <w:pStyle w:val="Heading2"/>
        <w:shd w:val="clear" w:color="auto" w:fill="1F497D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4. 推奨スキーム（補助金が通る形）</w:t>
      </w:r>
    </w:p>
    <w:p>
      <w:pPr>
        <w:spacing w:before="40" w:after="40"/>
        <w:jc w:val="center"/>
        <w:shd w:val="clear" w:color="auto" w:fill="7F7F7F"/>
      </w:pPr>
      <w:r>
        <w:rPr>
          <w:rFonts w:ascii="メイリオ" w:hAnsi="メイリオ" w:eastAsia="メイリオ"/>
          <w:b/>
          <w:color w:val="FFFFFF"/>
          <w:sz w:val="20"/>
        </w:rPr>
        <w:t>キッチンカー（別名義会社所有・1万円/日）</w:t>
      </w:r>
    </w:p>
    <w:p>
      <w:pPr>
        <w:spacing w:before="40" w:after="40"/>
        <w:jc w:val="center"/>
        <w:shd w:val="clear" w:color="auto" w:fill="E7E6E6"/>
      </w:pPr>
      <w:r>
        <w:rPr>
          <w:rFonts w:ascii="メイリオ" w:hAnsi="メイリオ" w:eastAsia="メイリオ"/>
          <w:b w:val="0"/>
          <w:color w:val="404040"/>
          <w:sz w:val="18"/>
        </w:rPr>
        <w:t>→ 安い運営コストとして活用。レンタル料は自己負担（補助金に入れない）</w:t>
      </w:r>
    </w:p>
    <w:p>
      <w:pPr>
        <w:spacing w:before="0" w:after="0"/>
        <w:jc w:val="center"/>
      </w:pPr>
      <w:r>
        <w:rPr>
          <w:rFonts w:ascii="メイリオ" w:hAnsi="メイリオ" w:eastAsia="メイリオ"/>
          <w:color w:val="555555"/>
          <w:sz w:val="20"/>
        </w:rPr>
        <w:t>▼</w:t>
      </w:r>
    </w:p>
    <w:p>
      <w:pPr>
        <w:spacing w:before="40" w:after="40"/>
        <w:jc w:val="center"/>
        <w:shd w:val="clear" w:color="auto" w:fill="375623"/>
      </w:pPr>
      <w:r>
        <w:rPr>
          <w:rFonts w:ascii="メイリオ" w:hAnsi="メイリオ" w:eastAsia="メイリオ"/>
          <w:b/>
          <w:color w:val="FFFFFF"/>
          <w:sz w:val="20"/>
        </w:rPr>
        <w:t>ブランディングは「金丸商店所有の備品」で実施</w:t>
      </w:r>
    </w:p>
    <w:p>
      <w:pPr>
        <w:spacing w:before="40" w:after="40"/>
        <w:jc w:val="center"/>
        <w:shd w:val="clear" w:color="auto" w:fill="E2EFDA"/>
      </w:pPr>
      <w:r>
        <w:rPr>
          <w:rFonts w:ascii="メイリオ" w:hAnsi="メイリオ" w:eastAsia="メイリオ"/>
          <w:b w:val="0"/>
          <w:color w:val="375623"/>
          <w:sz w:val="18"/>
        </w:rPr>
        <w:t>マグネットシート・着脱式パネル → 車両を変えても使い回せる／補助対象</w:t>
      </w:r>
    </w:p>
    <w:p>
      <w:pPr>
        <w:spacing w:before="0" w:after="0"/>
        <w:jc w:val="center"/>
      </w:pPr>
      <w:r>
        <w:rPr>
          <w:rFonts w:ascii="メイリオ" w:hAnsi="メイリオ" w:eastAsia="メイリオ"/>
          <w:color w:val="555555"/>
          <w:sz w:val="20"/>
        </w:rPr>
        <w:t>▼</w:t>
      </w:r>
    </w:p>
    <w:p>
      <w:pPr>
        <w:spacing w:before="40" w:after="40"/>
        <w:jc w:val="center"/>
        <w:shd w:val="clear" w:color="auto" w:fill="1F497D"/>
      </w:pPr>
      <w:r>
        <w:rPr>
          <w:rFonts w:ascii="メイリオ" w:hAnsi="メイリオ" w:eastAsia="メイリオ"/>
          <w:b/>
          <w:color w:val="FFFFFF"/>
          <w:sz w:val="20"/>
        </w:rPr>
        <w:t>補助金（チャレンジ支援）は第三者経費に集中</w:t>
      </w:r>
    </w:p>
    <w:p>
      <w:pPr>
        <w:spacing w:before="40" w:after="40"/>
        <w:jc w:val="center"/>
        <w:shd w:val="clear" w:color="auto" w:fill="DCE6F1"/>
      </w:pPr>
      <w:r>
        <w:rPr>
          <w:rFonts w:ascii="メイリオ" w:hAnsi="メイリオ" w:eastAsia="メイリオ"/>
          <w:b w:val="0"/>
          <w:color w:val="1F497D"/>
          <w:sz w:val="18"/>
        </w:rPr>
        <w:t>商品開発・SNS広告・写真動画・PR TIMES・HP・予約システム・イベント出展料</w:t>
      </w:r>
    </w:p>
    <w:p/>
    <w:p>
      <w:pPr>
        <w:pStyle w:val="Heading2"/>
        <w:shd w:val="clear" w:color="auto" w:fill="808080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5. ブランディング方式の比較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80808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1994"/>
            <w:shd w:val="clear" w:color="auto" w:fill="80808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概算費用</w:t>
            </w:r>
          </w:p>
        </w:tc>
        <w:tc>
          <w:tcPr>
            <w:tcW w:type="dxa" w:w="1994"/>
            <w:shd w:val="clear" w:color="auto" w:fill="80808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補助金の扱い</w:t>
            </w:r>
          </w:p>
        </w:tc>
        <w:tc>
          <w:tcPr>
            <w:tcW w:type="dxa" w:w="1994"/>
            <w:shd w:val="clear" w:color="auto" w:fill="80808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所有</w:t>
            </w:r>
          </w:p>
        </w:tc>
        <w:tc>
          <w:tcPr>
            <w:tcW w:type="dxa" w:w="1994"/>
            <w:shd w:val="clear" w:color="auto" w:fill="80808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994"/>
          </w:tcPr>
          <w:p>
            <w:r>
              <w:rPr>
                <w:rFonts w:ascii="メイリオ" w:hAnsi="メイリオ" w:eastAsia="メイリオ"/>
                <w:sz w:val="18"/>
              </w:rPr>
              <w:t>フルラッピング（車体直接）</w:t>
            </w:r>
          </w:p>
        </w:tc>
        <w:tc>
          <w:tcPr>
            <w:tcW w:type="dxa" w:w="1994"/>
          </w:tcPr>
          <w:p>
            <w:r>
              <w:rPr>
                <w:rFonts w:ascii="メイリオ" w:hAnsi="メイリオ" w:eastAsia="メイリオ"/>
                <w:sz w:val="18"/>
              </w:rPr>
              <w:t>40〜60万円</w:t>
            </w:r>
          </w:p>
        </w:tc>
        <w:tc>
          <w:tcPr>
            <w:tcW w:type="dxa" w:w="1994"/>
          </w:tcPr>
          <w:p>
            <w:r>
              <w:rPr>
                <w:rFonts w:ascii="メイリオ" w:hAnsi="メイリオ" w:eastAsia="メイリオ"/>
                <w:sz w:val="18"/>
              </w:rPr>
              <w:t>✕ 対象外</w:t>
            </w:r>
          </w:p>
        </w:tc>
        <w:tc>
          <w:tcPr>
            <w:tcW w:type="dxa" w:w="1994"/>
          </w:tcPr>
          <w:p>
            <w:r>
              <w:rPr>
                <w:rFonts w:ascii="メイリオ" w:hAnsi="メイリオ" w:eastAsia="メイリオ"/>
                <w:sz w:val="18"/>
              </w:rPr>
              <w:t>別名義会社</w:t>
            </w:r>
          </w:p>
        </w:tc>
        <w:tc>
          <w:tcPr>
            <w:tcW w:type="dxa" w:w="1994"/>
          </w:tcPr>
          <w:p>
            <w:r>
              <w:rPr>
                <w:rFonts w:ascii="メイリオ" w:hAnsi="メイリオ" w:eastAsia="メイリオ"/>
                <w:sz w:val="18"/>
              </w:rPr>
              <w:t>他社資産への投資</w:t>
            </w:r>
          </w:p>
        </w:tc>
      </w:tr>
      <w:tr>
        <w:tc>
          <w:tcPr>
            <w:tcW w:type="dxa" w:w="199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大型マグネットシート（両サイド＋リア）</w:t>
            </w:r>
          </w:p>
        </w:tc>
        <w:tc>
          <w:tcPr>
            <w:tcW w:type="dxa" w:w="199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8〜20万円</w:t>
            </w:r>
          </w:p>
        </w:tc>
        <w:tc>
          <w:tcPr>
            <w:tcW w:type="dxa" w:w="199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◎ 対象</w:t>
            </w:r>
          </w:p>
        </w:tc>
        <w:tc>
          <w:tcPr>
            <w:tcW w:type="dxa" w:w="199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金丸商店</w:t>
            </w:r>
          </w:p>
        </w:tc>
        <w:tc>
          <w:tcPr>
            <w:tcW w:type="dxa" w:w="199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強力・厚手タイプを選ぶ</w:t>
            </w:r>
          </w:p>
        </w:tc>
      </w:tr>
      <w:tr>
        <w:tc>
          <w:tcPr>
            <w:tcW w:type="dxa" w:w="1994"/>
          </w:tcPr>
          <w:p>
            <w:r>
              <w:rPr>
                <w:rFonts w:ascii="メイリオ" w:hAnsi="メイリオ" w:eastAsia="メイリオ"/>
                <w:sz w:val="18"/>
              </w:rPr>
              <w:t>着脱式パネル看板（フレーム式）</w:t>
            </w:r>
          </w:p>
        </w:tc>
        <w:tc>
          <w:tcPr>
            <w:tcW w:type="dxa" w:w="1994"/>
          </w:tcPr>
          <w:p>
            <w:r>
              <w:rPr>
                <w:rFonts w:ascii="メイリオ" w:hAnsi="メイリオ" w:eastAsia="メイリオ"/>
                <w:sz w:val="18"/>
              </w:rPr>
              <w:t>10〜25万円</w:t>
            </w:r>
          </w:p>
        </w:tc>
        <w:tc>
          <w:tcPr>
            <w:tcW w:type="dxa" w:w="1994"/>
          </w:tcPr>
          <w:p>
            <w:r>
              <w:rPr>
                <w:rFonts w:ascii="メイリオ" w:hAnsi="メイリオ" w:eastAsia="メイリオ"/>
                <w:sz w:val="18"/>
              </w:rPr>
              <w:t>◎ 対象</w:t>
            </w:r>
          </w:p>
        </w:tc>
        <w:tc>
          <w:tcPr>
            <w:tcW w:type="dxa" w:w="1994"/>
          </w:tcPr>
          <w:p>
            <w:r>
              <w:rPr>
                <w:rFonts w:ascii="メイリオ" w:hAnsi="メイリオ" w:eastAsia="メイリオ"/>
                <w:sz w:val="18"/>
              </w:rPr>
              <w:t>金丸商店</w:t>
            </w:r>
          </w:p>
        </w:tc>
        <w:tc>
          <w:tcPr>
            <w:tcW w:type="dxa" w:w="1994"/>
          </w:tcPr>
          <w:p>
            <w:r>
              <w:rPr>
                <w:rFonts w:ascii="メイリオ" w:hAnsi="メイリオ" w:eastAsia="メイリオ"/>
                <w:sz w:val="18"/>
              </w:rPr>
              <w:t>イベント看板にも流用可</w:t>
            </w:r>
          </w:p>
        </w:tc>
      </w:tr>
    </w:tbl>
    <w:p>
      <w:pPr>
        <w:shd w:val="clear" w:color="auto" w:fill="FFF2CC"/>
        <w:spacing w:after="120"/>
        <w:ind w:left="170"/>
      </w:pPr>
      <w:r>
        <w:rPr>
          <w:rFonts w:ascii="メイリオ" w:hAnsi="メイリオ" w:eastAsia="メイリオ"/>
          <w:color w:val="7F6000"/>
          <w:sz w:val="18"/>
        </w:rPr>
        <w:t>※ 備品購入費は1点30万円以下が条件。マグネット・パネルとも余裕でクリア。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7070"/>
        <w:sz w:val="16"/>
      </w:rPr>
      <w:t>別名義会社との関係整理図 ／ 能登バーガー企画　作成：CBC（米永）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