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32"/>
        </w:rPr>
        <w:t>Figures</w:t>
      </w:r>
    </w:p>
    <w:p>
      <w:r>
        <w:rPr>
          <w:i/>
          <w:color w:val="52514E"/>
          <w:sz w:val="22"/>
        </w:rPr>
        <w:t>A literature-guided public-data evidence hierarchy prioritises a PLK1-centred mitotic/redox programme in lung adenocarcinoma</w:t>
      </w:r>
    </w:p>
    <w:p>
      <w:r>
        <w:rPr>
          <w:color w:val="52514E"/>
          <w:sz w:val="18"/>
        </w:rPr>
        <w:t>Target journal: BMC Genomics · 5 main figures + 2 additional-file (supplementary) figures. Figures are 400-dpi renderings; editable vector PDFs are provided in the submission package.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31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31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Figure 1. Literature-guided TCGA discovery of a PLK1-centred mitotic/redox programme.</w:t>
      </w:r>
    </w:p>
    <w:p>
      <w:r>
        <w:rPr>
          <w:color w:val="52514E"/>
          <w:sz w:val="19"/>
        </w:rPr>
        <w:t xml:space="preserve"> (a) Genome-wide TCGA-LUAD survival screen; the top 15 genes are ranked by -log10 log-rank P, with the lead candidates PLK1 (blue) and ERO1A (orange) highlighted. (b) Cross-layer evidence-support matrix for the nine programme genes across six independent evidence layers (TCGA FDR significance, TCGA-train log-rank, GSE31210 and GSE50081 replication, DepMap dependency, spatial support); the right-hand column gives the per-gene support count.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3238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Figure 2. A nine-gene score: construction, held-out separation and multi-cohort transfer.</w:t>
      </w:r>
    </w:p>
    <w:p>
      <w:r>
        <w:rPr>
          <w:color w:val="52514E"/>
          <w:sz w:val="19"/>
        </w:rPr>
        <w:t xml:space="preserve"> (a) Frozen Cox coefficients of the nine programme genes fitted in the TCGA training partition (red, risk-increasing; blue, protective). (b) Harrell C-index of the prior ridge scaffold versus the consensus score on TCGA training and held-out data; the dashed line marks random discrimination (0.5). (c) Forest plot of hazard ratio per 1-SD score (95% CI) on external transfer; the score is significant in four of five cohorts (blue) and does not replicate in GSE37745 (orange), which is retained as a transparent null. C-index and Cox P values are annotated.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77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77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Figure 3. Pathway and Human Protein Atlas biological-context coherence.</w:t>
      </w:r>
    </w:p>
    <w:p>
      <w:r>
        <w:rPr>
          <w:color w:val="52514E"/>
          <w:sz w:val="19"/>
        </w:rPr>
        <w:t xml:space="preserve"> (a) g:Profiler enrichment (-log10 adjusted P, g:SCS correction) of the candidate programme, coloured by theme (blue, mitotic/checkpoint; orange, ER-redox/folding). (b) Distribution of Human Protein Atlas pathology-direction concordance across evaluated candidate genes.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413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41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Figure 4. Single-cell aggregate and Visium tissue-context evidence.</w:t>
      </w:r>
    </w:p>
    <w:p>
      <w:r>
        <w:rPr>
          <w:color w:val="52514E"/>
          <w:sz w:val="19"/>
        </w:rPr>
        <w:t xml:space="preserve"> (a) E-MTAB-13530 Visium tumour-minus-adjacent candidate-gene expression (delta log1p CP10K); ERO1A (orange) and PLK1 (blue) are highlighted. (b) Spot-level Spearman correlation of each programme axis with the tumour-like state, the cross-method-robust spatial signal; positive in all 12 tumour sections.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0743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4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Figure 5. Functional prioritisation of PLK1 with explicit therapeutic boundaries.</w:t>
      </w:r>
    </w:p>
    <w:p>
      <w:r>
        <w:rPr>
          <w:color w:val="52514E"/>
          <w:sz w:val="19"/>
        </w:rPr>
        <w:t xml:space="preserve"> (a) DepMap Public 26Q1 dependency ranking (mean LUAD CRISPR effect); PLK1 (blue) is the strongest dependency, past the -0.5 common-dependency threshold. (b) PLK1 mean CRISPR effect across LUAD, other-lung and non-lung models, showing common essentiality rather than LUAD selectivity (Mann-Whitney P=0.73). (c) Expression-drug associations (Spearman r versus -log10 FDR) for PLK1 (blue) and ERO1A (orange); none of the 12 tests passes FDR&lt;0.05 (dashed line), so no PLK-inhibitor stratifier is supported.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2024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0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Additional file 1 (Supplementary Figure S1). iLINCS/L1000 PLK1-ERO1A perturbation convergence.</w:t>
      </w:r>
    </w:p>
    <w:p>
      <w:r>
        <w:rPr>
          <w:color w:val="52514E"/>
          <w:sz w:val="19"/>
        </w:rPr>
        <w:t xml:space="preserve"> (a) Signature-level Spearman correlation (978 shared L1000 genes): within-cell PLK1-knockdown vs ERO1A-knockdown convergence in HCC515 and A549, and cross-cell knockdown reproducibility. (b) Interpretation boundary: convergence appears only in HCC515, the PLK1 knockdown signature is not reproducible across cell lines, and signature overlap does not establish molecular interaction, epistasis, pathway ordering or drug synergy.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727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7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B0B0B"/>
          <w:sz w:val="20"/>
        </w:rPr>
        <w:t>Additional file 2 (Supplementary Figure S2). PLK1 lacks a demonstrated LUAD-selective therapeutic window.</w:t>
      </w:r>
    </w:p>
    <w:p>
      <w:r>
        <w:rPr>
          <w:color w:val="52514E"/>
          <w:sz w:val="19"/>
        </w:rPr>
        <w:t xml:space="preserve"> (a) PLK1 CRISPR dependency fraction in LUAD versus non-cancer models: pan-essential (1.00) in both. (b) Coverage audit: no non-cancerous lung model has PLK1 CRISPR or PLK-inhibitor coverage, and LUAD versus non-cancer PLK1/ERO1A expression differences are non-significant; no therapeutic-window or normal-tissue safety claim is supported.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