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A008A" w14:textId="77777777" w:rsidR="00FF58F6" w:rsidRDefault="00FF58F6" w:rsidP="00FF58F6">
      <w:pPr>
        <w:pStyle w:val="BodyText"/>
        <w:tabs>
          <w:tab w:val="left" w:pos="6660"/>
        </w:tabs>
        <w:spacing w:line="280" w:lineRule="exact"/>
        <w:ind w:left="120" w:right="228"/>
      </w:pPr>
      <w:bookmarkStart w:id="0" w:name="_GoBack"/>
      <w:bookmarkEnd w:id="0"/>
      <w:r>
        <w:t xml:space="preserve">DMR uses a membrane filtration (MF) method for fecal coliform analysis using </w:t>
      </w:r>
      <w:proofErr w:type="spellStart"/>
      <w:r>
        <w:rPr>
          <w:spacing w:val="-1"/>
        </w:rPr>
        <w:t>mTEC</w:t>
      </w:r>
      <w:proofErr w:type="spellEnd"/>
      <w:r>
        <w:t xml:space="preserve"> agar with a two-hour resuscitation step.  The </w:t>
      </w:r>
      <w:r>
        <w:rPr>
          <w:spacing w:val="-1"/>
        </w:rPr>
        <w:t>geometric</w:t>
      </w:r>
      <w:r>
        <w:rPr>
          <w:spacing w:val="33"/>
        </w:rPr>
        <w:t xml:space="preserve"> </w:t>
      </w:r>
      <w:r>
        <w:rPr>
          <w:spacing w:val="-1"/>
        </w:rPr>
        <w:t xml:space="preserve">mean </w:t>
      </w:r>
      <w:r>
        <w:t xml:space="preserve">and the </w:t>
      </w:r>
      <w:r>
        <w:rPr>
          <w:spacing w:val="-1"/>
        </w:rPr>
        <w:t>90</w:t>
      </w:r>
      <w:proofErr w:type="spellStart"/>
      <w:r>
        <w:rPr>
          <w:spacing w:val="-1"/>
          <w:position w:val="11"/>
          <w:sz w:val="16"/>
        </w:rPr>
        <w:t>th</w:t>
      </w:r>
      <w:proofErr w:type="spellEnd"/>
      <w:r>
        <w:rPr>
          <w:spacing w:val="20"/>
          <w:position w:val="11"/>
          <w:sz w:val="16"/>
        </w:rPr>
        <w:t xml:space="preserve"> </w:t>
      </w:r>
      <w:r>
        <w:t xml:space="preserve">percentile are calculated on a </w:t>
      </w:r>
      <w:r>
        <w:rPr>
          <w:spacing w:val="-1"/>
        </w:rPr>
        <w:t>minimum</w:t>
      </w:r>
      <w:r>
        <w:rPr>
          <w:spacing w:val="-2"/>
        </w:rPr>
        <w:t xml:space="preserve"> </w:t>
      </w:r>
      <w:r>
        <w:t xml:space="preserve">of the </w:t>
      </w:r>
      <w:r>
        <w:rPr>
          <w:spacing w:val="-1"/>
        </w:rPr>
        <w:t>most</w:t>
      </w:r>
      <w:r>
        <w:t xml:space="preserve"> recent</w:t>
      </w:r>
      <w:r>
        <w:rPr>
          <w:spacing w:val="-1"/>
        </w:rPr>
        <w:t xml:space="preserve"> </w:t>
      </w:r>
      <w:r>
        <w:t>30 data points.</w:t>
      </w:r>
    </w:p>
    <w:p w14:paraId="73038186" w14:textId="77777777" w:rsidR="00FF58F6" w:rsidRDefault="00FF58F6" w:rsidP="00FF58F6">
      <w:pPr>
        <w:pStyle w:val="BodyText"/>
        <w:tabs>
          <w:tab w:val="left" w:pos="6660"/>
        </w:tabs>
        <w:spacing w:line="280" w:lineRule="exact"/>
        <w:ind w:left="120" w:right="228"/>
      </w:pPr>
    </w:p>
    <w:p w14:paraId="688CF840" w14:textId="77777777" w:rsidR="00FF58F6" w:rsidRPr="00435E53" w:rsidRDefault="00FF58F6" w:rsidP="00FF58F6">
      <w:pPr>
        <w:ind w:left="180"/>
        <w:rPr>
          <w:rFonts w:ascii="Times New Roman" w:hAnsi="Times New Roman" w:cs="Times New Roman"/>
          <w:b/>
          <w:w w:val="105"/>
          <w:sz w:val="24"/>
          <w:szCs w:val="24"/>
        </w:rPr>
      </w:pPr>
      <w:r w:rsidRPr="00435E53">
        <w:rPr>
          <w:rFonts w:ascii="Times New Roman" w:hAnsi="Times New Roman" w:cs="Times New Roman"/>
          <w:b/>
          <w:sz w:val="24"/>
          <w:szCs w:val="24"/>
        </w:rPr>
        <w:t>Geometric Mean</w:t>
      </w:r>
      <w:r w:rsidRPr="00435E53">
        <w:rPr>
          <w:rFonts w:ascii="Times New Roman" w:hAnsi="Times New Roman" w:cs="Times New Roman"/>
          <w:b/>
          <w:spacing w:val="5"/>
          <w:w w:val="105"/>
          <w:sz w:val="24"/>
          <w:szCs w:val="24"/>
        </w:rPr>
        <w:t xml:space="preserve"> </w:t>
      </w:r>
      <w:r w:rsidRPr="00435E53">
        <w:rPr>
          <w:rFonts w:ascii="Times New Roman" w:hAnsi="Times New Roman" w:cs="Times New Roman"/>
          <w:b/>
          <w:spacing w:val="-2"/>
          <w:w w:val="105"/>
          <w:sz w:val="24"/>
          <w:szCs w:val="24"/>
        </w:rPr>
        <w:t>(</w:t>
      </w:r>
      <w:r w:rsidRPr="00435E53">
        <w:rPr>
          <w:rFonts w:ascii="Times New Roman" w:hAnsi="Times New Roman" w:cs="Times New Roman"/>
          <w:b/>
          <w:w w:val="105"/>
          <w:sz w:val="24"/>
          <w:szCs w:val="24"/>
        </w:rPr>
        <w:t>G</w:t>
      </w:r>
      <w:r w:rsidRPr="00435E53">
        <w:rPr>
          <w:rFonts w:ascii="Times New Roman" w:hAnsi="Times New Roman" w:cs="Times New Roman"/>
          <w:b/>
          <w:spacing w:val="-2"/>
          <w:w w:val="105"/>
          <w:sz w:val="24"/>
          <w:szCs w:val="24"/>
        </w:rPr>
        <w:t>e</w:t>
      </w:r>
      <w:r w:rsidRPr="00435E53">
        <w:rPr>
          <w:rFonts w:ascii="Times New Roman" w:hAnsi="Times New Roman" w:cs="Times New Roman"/>
          <w:b/>
          <w:spacing w:val="2"/>
          <w:w w:val="105"/>
          <w:sz w:val="24"/>
          <w:szCs w:val="24"/>
        </w:rPr>
        <w:t>o</w:t>
      </w:r>
      <w:r w:rsidRPr="00435E53">
        <w:rPr>
          <w:rFonts w:ascii="Times New Roman" w:hAnsi="Times New Roman" w:cs="Times New Roman"/>
          <w:b/>
          <w:spacing w:val="-1"/>
          <w:w w:val="105"/>
          <w:sz w:val="24"/>
          <w:szCs w:val="24"/>
        </w:rPr>
        <w:t>m</w:t>
      </w:r>
      <w:r w:rsidRPr="00435E53">
        <w:rPr>
          <w:rFonts w:ascii="Times New Roman" w:hAnsi="Times New Roman" w:cs="Times New Roman"/>
          <w:b/>
          <w:spacing w:val="-2"/>
          <w:w w:val="105"/>
          <w:sz w:val="24"/>
          <w:szCs w:val="24"/>
        </w:rPr>
        <w:t>e</w:t>
      </w:r>
      <w:r w:rsidRPr="00435E53">
        <w:rPr>
          <w:rFonts w:ascii="Times New Roman" w:hAnsi="Times New Roman" w:cs="Times New Roman"/>
          <w:b/>
          <w:w w:val="105"/>
          <w:sz w:val="24"/>
          <w:szCs w:val="24"/>
        </w:rPr>
        <w:t>an):</w:t>
      </w:r>
    </w:p>
    <w:p w14:paraId="031C91C9" w14:textId="77777777" w:rsidR="00FF58F6" w:rsidRPr="00435E53" w:rsidRDefault="00FF58F6" w:rsidP="00FF58F6">
      <w:pPr>
        <w:ind w:left="180"/>
        <w:rPr>
          <w:rFonts w:ascii="Times New Roman" w:hAnsi="Times New Roman" w:cs="Times New Roman"/>
          <w:spacing w:val="2"/>
          <w:sz w:val="24"/>
          <w:szCs w:val="24"/>
        </w:rPr>
      </w:pPr>
      <w:r w:rsidRPr="00435E53">
        <w:rPr>
          <w:rFonts w:ascii="Times New Roman" w:hAnsi="Times New Roman" w:cs="Times New Roman"/>
          <w:sz w:val="24"/>
          <w:szCs w:val="24"/>
        </w:rPr>
        <w:t xml:space="preserve">The geometric mean, or geomean, is a type of averaging calculation.  Unlike a simple average or arithmetic mean, the geomean takes into account the way bacteria grow. During bacterial growth, each bacterium doubles and reproduces itself i.e. one bacterium becomes two, two bacteria become four, four become eight and so on. There are low values at first and the rate of growth increases as the number of colonies increases.  This is called exponential growth (Figure 1).  This growth pattern means a fecal coliform dataset may have a few high scores and many low scores. </w:t>
      </w:r>
      <w:r w:rsidRPr="00435E53">
        <w:rPr>
          <w:rFonts w:ascii="Times New Roman" w:hAnsi="Times New Roman" w:cs="Times New Roman"/>
          <w:spacing w:val="2"/>
          <w:sz w:val="24"/>
          <w:szCs w:val="24"/>
        </w:rPr>
        <w:t>T</w:t>
      </w:r>
      <w:r w:rsidRPr="00435E53">
        <w:rPr>
          <w:rFonts w:ascii="Times New Roman" w:hAnsi="Times New Roman" w:cs="Times New Roman"/>
          <w:sz w:val="24"/>
          <w:szCs w:val="24"/>
        </w:rPr>
        <w:t>he</w:t>
      </w:r>
      <w:r w:rsidRPr="00435E53">
        <w:rPr>
          <w:rFonts w:ascii="Times New Roman" w:hAnsi="Times New Roman" w:cs="Times New Roman"/>
          <w:spacing w:val="-6"/>
          <w:sz w:val="24"/>
          <w:szCs w:val="24"/>
        </w:rPr>
        <w:t xml:space="preserve"> </w:t>
      </w:r>
      <w:r w:rsidRPr="00435E53">
        <w:rPr>
          <w:rFonts w:ascii="Times New Roman" w:hAnsi="Times New Roman" w:cs="Times New Roman"/>
          <w:spacing w:val="-1"/>
          <w:sz w:val="24"/>
          <w:szCs w:val="24"/>
        </w:rPr>
        <w:t>ca</w:t>
      </w:r>
      <w:r w:rsidRPr="00435E53">
        <w:rPr>
          <w:rFonts w:ascii="Times New Roman" w:hAnsi="Times New Roman" w:cs="Times New Roman"/>
          <w:sz w:val="24"/>
          <w:szCs w:val="24"/>
        </w:rPr>
        <w:t>l</w:t>
      </w:r>
      <w:r w:rsidRPr="00435E53">
        <w:rPr>
          <w:rFonts w:ascii="Times New Roman" w:hAnsi="Times New Roman" w:cs="Times New Roman"/>
          <w:spacing w:val="-1"/>
          <w:sz w:val="24"/>
          <w:szCs w:val="24"/>
        </w:rPr>
        <w:t>c</w:t>
      </w:r>
      <w:r w:rsidRPr="00435E53">
        <w:rPr>
          <w:rFonts w:ascii="Times New Roman" w:hAnsi="Times New Roman" w:cs="Times New Roman"/>
          <w:sz w:val="24"/>
          <w:szCs w:val="24"/>
        </w:rPr>
        <w:t>u</w:t>
      </w:r>
      <w:r w:rsidRPr="00435E53">
        <w:rPr>
          <w:rFonts w:ascii="Times New Roman" w:hAnsi="Times New Roman" w:cs="Times New Roman"/>
          <w:spacing w:val="3"/>
          <w:sz w:val="24"/>
          <w:szCs w:val="24"/>
        </w:rPr>
        <w:t>l</w:t>
      </w:r>
      <w:r w:rsidRPr="00435E53">
        <w:rPr>
          <w:rFonts w:ascii="Times New Roman" w:hAnsi="Times New Roman" w:cs="Times New Roman"/>
          <w:spacing w:val="-1"/>
          <w:sz w:val="24"/>
          <w:szCs w:val="24"/>
        </w:rPr>
        <w:t>a</w:t>
      </w:r>
      <w:r w:rsidRPr="00435E53">
        <w:rPr>
          <w:rFonts w:ascii="Times New Roman" w:hAnsi="Times New Roman" w:cs="Times New Roman"/>
          <w:sz w:val="24"/>
          <w:szCs w:val="24"/>
        </w:rPr>
        <w:t>tion</w:t>
      </w:r>
      <w:r w:rsidRPr="00435E53">
        <w:rPr>
          <w:rFonts w:ascii="Times New Roman" w:hAnsi="Times New Roman" w:cs="Times New Roman"/>
          <w:spacing w:val="-4"/>
          <w:sz w:val="24"/>
          <w:szCs w:val="24"/>
        </w:rPr>
        <w:t xml:space="preserve"> </w:t>
      </w:r>
      <w:r w:rsidRPr="00435E53">
        <w:rPr>
          <w:rFonts w:ascii="Times New Roman" w:hAnsi="Times New Roman" w:cs="Times New Roman"/>
          <w:spacing w:val="-1"/>
          <w:sz w:val="24"/>
          <w:szCs w:val="24"/>
        </w:rPr>
        <w:t>f</w:t>
      </w:r>
      <w:r w:rsidRPr="00435E53">
        <w:rPr>
          <w:rFonts w:ascii="Times New Roman" w:hAnsi="Times New Roman" w:cs="Times New Roman"/>
          <w:sz w:val="24"/>
          <w:szCs w:val="24"/>
        </w:rPr>
        <w:t>or</w:t>
      </w:r>
      <w:r w:rsidRPr="00435E53">
        <w:rPr>
          <w:rFonts w:ascii="Times New Roman" w:hAnsi="Times New Roman" w:cs="Times New Roman"/>
          <w:spacing w:val="-6"/>
          <w:sz w:val="24"/>
          <w:szCs w:val="24"/>
        </w:rPr>
        <w:t xml:space="preserve"> </w:t>
      </w:r>
      <w:r w:rsidRPr="00435E53">
        <w:rPr>
          <w:rFonts w:ascii="Times New Roman" w:hAnsi="Times New Roman" w:cs="Times New Roman"/>
          <w:sz w:val="24"/>
          <w:szCs w:val="24"/>
        </w:rPr>
        <w:t xml:space="preserve">the </w:t>
      </w:r>
      <w:r w:rsidRPr="00435E53">
        <w:rPr>
          <w:rFonts w:ascii="Times New Roman" w:hAnsi="Times New Roman" w:cs="Times New Roman"/>
          <w:spacing w:val="-3"/>
          <w:sz w:val="24"/>
          <w:szCs w:val="24"/>
        </w:rPr>
        <w:t>g</w:t>
      </w:r>
      <w:r w:rsidRPr="00435E53">
        <w:rPr>
          <w:rFonts w:ascii="Times New Roman" w:hAnsi="Times New Roman" w:cs="Times New Roman"/>
          <w:spacing w:val="-1"/>
          <w:sz w:val="24"/>
          <w:szCs w:val="24"/>
        </w:rPr>
        <w:t>e</w:t>
      </w:r>
      <w:r w:rsidRPr="00435E53">
        <w:rPr>
          <w:rFonts w:ascii="Times New Roman" w:hAnsi="Times New Roman" w:cs="Times New Roman"/>
          <w:sz w:val="24"/>
          <w:szCs w:val="24"/>
        </w:rPr>
        <w:t>o</w:t>
      </w:r>
      <w:r w:rsidRPr="00435E53">
        <w:rPr>
          <w:rFonts w:ascii="Times New Roman" w:hAnsi="Times New Roman" w:cs="Times New Roman"/>
          <w:spacing w:val="3"/>
          <w:sz w:val="24"/>
          <w:szCs w:val="24"/>
        </w:rPr>
        <w:t>m</w:t>
      </w:r>
      <w:r w:rsidRPr="00435E53">
        <w:rPr>
          <w:rFonts w:ascii="Times New Roman" w:hAnsi="Times New Roman" w:cs="Times New Roman"/>
          <w:spacing w:val="-1"/>
          <w:sz w:val="24"/>
          <w:szCs w:val="24"/>
        </w:rPr>
        <w:t>e</w:t>
      </w:r>
      <w:r w:rsidRPr="00435E53">
        <w:rPr>
          <w:rFonts w:ascii="Times New Roman" w:hAnsi="Times New Roman" w:cs="Times New Roman"/>
          <w:sz w:val="24"/>
          <w:szCs w:val="24"/>
        </w:rPr>
        <w:t>t</w:t>
      </w:r>
      <w:r w:rsidRPr="00435E53">
        <w:rPr>
          <w:rFonts w:ascii="Times New Roman" w:hAnsi="Times New Roman" w:cs="Times New Roman"/>
          <w:spacing w:val="-1"/>
          <w:sz w:val="24"/>
          <w:szCs w:val="24"/>
        </w:rPr>
        <w:t>r</w:t>
      </w:r>
      <w:r w:rsidRPr="00435E53">
        <w:rPr>
          <w:rFonts w:ascii="Times New Roman" w:hAnsi="Times New Roman" w:cs="Times New Roman"/>
          <w:sz w:val="24"/>
          <w:szCs w:val="24"/>
        </w:rPr>
        <w:t>ic</w:t>
      </w:r>
      <w:r w:rsidRPr="00435E53">
        <w:rPr>
          <w:rFonts w:ascii="Times New Roman" w:hAnsi="Times New Roman" w:cs="Times New Roman"/>
          <w:spacing w:val="-8"/>
          <w:sz w:val="24"/>
          <w:szCs w:val="24"/>
        </w:rPr>
        <w:t xml:space="preserve"> </w:t>
      </w:r>
      <w:r w:rsidRPr="00435E53">
        <w:rPr>
          <w:rFonts w:ascii="Times New Roman" w:hAnsi="Times New Roman" w:cs="Times New Roman"/>
          <w:sz w:val="24"/>
          <w:szCs w:val="24"/>
        </w:rPr>
        <w:t>m</w:t>
      </w:r>
      <w:r w:rsidRPr="00435E53">
        <w:rPr>
          <w:rFonts w:ascii="Times New Roman" w:hAnsi="Times New Roman" w:cs="Times New Roman"/>
          <w:spacing w:val="-1"/>
          <w:sz w:val="24"/>
          <w:szCs w:val="24"/>
        </w:rPr>
        <w:t>ea</w:t>
      </w:r>
      <w:r w:rsidRPr="00435E53">
        <w:rPr>
          <w:rFonts w:ascii="Times New Roman" w:hAnsi="Times New Roman" w:cs="Times New Roman"/>
          <w:sz w:val="24"/>
          <w:szCs w:val="24"/>
        </w:rPr>
        <w:t>n</w:t>
      </w:r>
      <w:r w:rsidRPr="00435E53">
        <w:rPr>
          <w:rFonts w:ascii="Times New Roman" w:hAnsi="Times New Roman" w:cs="Times New Roman"/>
          <w:spacing w:val="-6"/>
          <w:sz w:val="24"/>
          <w:szCs w:val="24"/>
        </w:rPr>
        <w:t xml:space="preserve"> </w:t>
      </w:r>
      <w:r w:rsidRPr="00435E53">
        <w:rPr>
          <w:rFonts w:ascii="Times New Roman" w:hAnsi="Times New Roman" w:cs="Times New Roman"/>
          <w:sz w:val="24"/>
          <w:szCs w:val="24"/>
        </w:rPr>
        <w:t>takes exponential growth</w:t>
      </w:r>
      <w:r w:rsidRPr="00435E53">
        <w:rPr>
          <w:rFonts w:ascii="Times New Roman" w:hAnsi="Times New Roman" w:cs="Times New Roman"/>
          <w:spacing w:val="-7"/>
          <w:sz w:val="24"/>
          <w:szCs w:val="24"/>
        </w:rPr>
        <w:t xml:space="preserve"> </w:t>
      </w:r>
      <w:r w:rsidRPr="00435E53">
        <w:rPr>
          <w:rFonts w:ascii="Times New Roman" w:hAnsi="Times New Roman" w:cs="Times New Roman"/>
          <w:sz w:val="24"/>
          <w:szCs w:val="24"/>
        </w:rPr>
        <w:t>into</w:t>
      </w:r>
      <w:r w:rsidRPr="00435E53">
        <w:rPr>
          <w:rFonts w:ascii="Times New Roman" w:hAnsi="Times New Roman" w:cs="Times New Roman"/>
          <w:spacing w:val="-7"/>
          <w:sz w:val="24"/>
          <w:szCs w:val="24"/>
        </w:rPr>
        <w:t xml:space="preserve"> </w:t>
      </w:r>
      <w:r w:rsidRPr="00435E53">
        <w:rPr>
          <w:rFonts w:ascii="Times New Roman" w:hAnsi="Times New Roman" w:cs="Times New Roman"/>
          <w:spacing w:val="-1"/>
          <w:sz w:val="24"/>
          <w:szCs w:val="24"/>
        </w:rPr>
        <w:t>acc</w:t>
      </w:r>
      <w:r w:rsidRPr="00435E53">
        <w:rPr>
          <w:rFonts w:ascii="Times New Roman" w:hAnsi="Times New Roman" w:cs="Times New Roman"/>
          <w:sz w:val="24"/>
          <w:szCs w:val="24"/>
        </w:rPr>
        <w:t>ount by transforming the data into logarithms, taking the mean and then converting the number back to a log base 10 number.</w:t>
      </w:r>
      <w:r w:rsidRPr="00435E53">
        <w:rPr>
          <w:rFonts w:ascii="Times New Roman" w:hAnsi="Times New Roman" w:cs="Times New Roman"/>
          <w:spacing w:val="2"/>
          <w:sz w:val="24"/>
          <w:szCs w:val="24"/>
        </w:rPr>
        <w:t xml:space="preserve"> </w:t>
      </w:r>
      <w:r w:rsidRPr="00435E53">
        <w:rPr>
          <w:rFonts w:ascii="Times New Roman" w:hAnsi="Times New Roman" w:cs="Times New Roman"/>
          <w:sz w:val="24"/>
          <w:szCs w:val="24"/>
        </w:rPr>
        <w:t xml:space="preserve">For example, the arithmetic </w:t>
      </w:r>
      <w:proofErr w:type="gramStart"/>
      <w:r w:rsidRPr="00435E53">
        <w:rPr>
          <w:rFonts w:ascii="Times New Roman" w:hAnsi="Times New Roman" w:cs="Times New Roman"/>
          <w:sz w:val="24"/>
          <w:szCs w:val="24"/>
        </w:rPr>
        <w:t>mean</w:t>
      </w:r>
      <w:proofErr w:type="gramEnd"/>
      <w:r w:rsidRPr="00435E53">
        <w:rPr>
          <w:rFonts w:ascii="Times New Roman" w:hAnsi="Times New Roman" w:cs="Times New Roman"/>
          <w:sz w:val="24"/>
          <w:szCs w:val="24"/>
        </w:rPr>
        <w:t xml:space="preserve"> of a fecal coliform score of 300, 150, 23 and 2 CFU/100ml is 119 CFU/100ml. Calculating the geomean, the result is 38 CFU/100ml. </w:t>
      </w:r>
    </w:p>
    <w:p w14:paraId="7A117A06" w14:textId="77777777" w:rsidR="00FF58F6" w:rsidRPr="00435E53" w:rsidRDefault="00FF58F6" w:rsidP="00FF58F6">
      <w:pPr>
        <w:ind w:left="180"/>
        <w:rPr>
          <w:rFonts w:ascii="Times New Roman" w:hAnsi="Times New Roman" w:cs="Times New Roman"/>
        </w:rPr>
      </w:pPr>
    </w:p>
    <w:p w14:paraId="0B832641" w14:textId="77777777" w:rsidR="00FF58F6" w:rsidRPr="00435E53" w:rsidRDefault="00FF58F6" w:rsidP="00FF58F6">
      <w:pPr>
        <w:ind w:left="180"/>
        <w:rPr>
          <w:rFonts w:ascii="Times New Roman" w:hAnsi="Times New Roman" w:cs="Times New Roman"/>
        </w:rPr>
      </w:pPr>
      <w:r w:rsidRPr="00435E53">
        <w:rPr>
          <w:rFonts w:ascii="Times New Roman" w:hAnsi="Times New Roman" w:cs="Times New Roman"/>
          <w:noProof/>
        </w:rPr>
        <w:drawing>
          <wp:inline distT="0" distB="0" distL="0" distR="0" wp14:anchorId="44C1044C" wp14:editId="3BCEB33F">
            <wp:extent cx="3148716" cy="1425184"/>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733" cy="1425192"/>
                    </a:xfrm>
                    <a:prstGeom prst="rect">
                      <a:avLst/>
                    </a:prstGeom>
                    <a:noFill/>
                    <a:ln>
                      <a:noFill/>
                    </a:ln>
                  </pic:spPr>
                </pic:pic>
              </a:graphicData>
            </a:graphic>
          </wp:inline>
        </w:drawing>
      </w:r>
    </w:p>
    <w:p w14:paraId="415F4F93" w14:textId="77777777" w:rsidR="00FF58F6" w:rsidRPr="00435E53" w:rsidRDefault="00FF58F6" w:rsidP="00FF58F6">
      <w:pPr>
        <w:ind w:left="180"/>
        <w:rPr>
          <w:rFonts w:ascii="Times New Roman" w:hAnsi="Times New Roman" w:cs="Times New Roman"/>
          <w:sz w:val="20"/>
          <w:szCs w:val="20"/>
        </w:rPr>
      </w:pPr>
      <w:r w:rsidRPr="00435E53">
        <w:rPr>
          <w:rFonts w:ascii="Times New Roman" w:hAnsi="Times New Roman" w:cs="Times New Roman"/>
          <w:b/>
          <w:sz w:val="20"/>
          <w:szCs w:val="20"/>
        </w:rPr>
        <w:t>Figure 1.</w:t>
      </w:r>
      <w:r w:rsidRPr="00435E53">
        <w:rPr>
          <w:rFonts w:ascii="Times New Roman" w:hAnsi="Times New Roman" w:cs="Times New Roman"/>
          <w:sz w:val="20"/>
          <w:szCs w:val="20"/>
        </w:rPr>
        <w:t xml:space="preserve"> The graph illustrates exponential growth. The arithmetic mean for the scores is 18.1 while the geomean is 8. </w:t>
      </w:r>
    </w:p>
    <w:p w14:paraId="007C8A94" w14:textId="77777777" w:rsidR="00FF58F6" w:rsidRPr="00435E53" w:rsidRDefault="00FF58F6" w:rsidP="00FF58F6">
      <w:pPr>
        <w:spacing w:line="200" w:lineRule="exact"/>
        <w:ind w:left="180"/>
        <w:rPr>
          <w:rFonts w:ascii="Times New Roman" w:hAnsi="Times New Roman" w:cs="Times New Roman"/>
          <w:sz w:val="20"/>
          <w:szCs w:val="20"/>
        </w:rPr>
      </w:pPr>
    </w:p>
    <w:p w14:paraId="44DD10E1" w14:textId="77777777" w:rsidR="00FF58F6" w:rsidRPr="00D95D61" w:rsidRDefault="00FF58F6" w:rsidP="00FF58F6">
      <w:pPr>
        <w:ind w:left="180"/>
        <w:rPr>
          <w:rFonts w:ascii="Times New Roman" w:hAnsi="Times New Roman" w:cs="Times New Roman"/>
          <w:b/>
          <w:sz w:val="24"/>
          <w:szCs w:val="24"/>
        </w:rPr>
      </w:pPr>
      <w:r w:rsidRPr="00D95D61">
        <w:rPr>
          <w:rFonts w:ascii="Times New Roman" w:hAnsi="Times New Roman" w:cs="Times New Roman"/>
          <w:b/>
          <w:sz w:val="24"/>
          <w:szCs w:val="24"/>
        </w:rPr>
        <w:t>90th Percentile (P90)</w:t>
      </w:r>
    </w:p>
    <w:p w14:paraId="6FDD5BA8" w14:textId="77777777" w:rsidR="00FF58F6" w:rsidRPr="00D95D61" w:rsidRDefault="00FF58F6" w:rsidP="00FF58F6">
      <w:pPr>
        <w:ind w:left="180"/>
        <w:rPr>
          <w:rFonts w:ascii="Times New Roman" w:hAnsi="Times New Roman" w:cs="Times New Roman"/>
          <w:sz w:val="24"/>
          <w:szCs w:val="24"/>
        </w:rPr>
      </w:pPr>
      <w:r w:rsidRPr="00D95D61">
        <w:rPr>
          <w:rFonts w:ascii="Times New Roman" w:hAnsi="Times New Roman" w:cs="Times New Roman"/>
          <w:sz w:val="24"/>
          <w:szCs w:val="24"/>
        </w:rPr>
        <w:t xml:space="preserve">The other calculation used for shellfish growing area classification is the 90th percentile (P90). The P90 is the variability standard, meaning this value </w:t>
      </w:r>
      <w:proofErr w:type="gramStart"/>
      <w:r w:rsidRPr="00D95D61">
        <w:rPr>
          <w:rFonts w:ascii="Times New Roman" w:hAnsi="Times New Roman" w:cs="Times New Roman"/>
          <w:sz w:val="24"/>
          <w:szCs w:val="24"/>
        </w:rPr>
        <w:t>takes into account</w:t>
      </w:r>
      <w:proofErr w:type="gramEnd"/>
      <w:r w:rsidRPr="00D95D61">
        <w:rPr>
          <w:rFonts w:ascii="Times New Roman" w:hAnsi="Times New Roman" w:cs="Times New Roman"/>
          <w:sz w:val="24"/>
          <w:szCs w:val="24"/>
        </w:rPr>
        <w:t xml:space="preserve"> the variability of test readings. In any test measurement, successive readings of the same sample would produce slightly different scores each time due to precision of the equipment, human error, etc. This type of variability is a factor of the test method and equipment used and is true of all testing methods.</w:t>
      </w:r>
    </w:p>
    <w:p w14:paraId="1A12321F" w14:textId="77777777" w:rsidR="00FF58F6" w:rsidRPr="00D95D61" w:rsidRDefault="00FF58F6" w:rsidP="00FF58F6">
      <w:pPr>
        <w:ind w:left="180"/>
        <w:rPr>
          <w:rFonts w:ascii="Times New Roman" w:hAnsi="Times New Roman" w:cs="Times New Roman"/>
          <w:sz w:val="24"/>
          <w:szCs w:val="24"/>
        </w:rPr>
      </w:pPr>
    </w:p>
    <w:p w14:paraId="47198CED" w14:textId="77777777" w:rsidR="00FF58F6" w:rsidRPr="00D95D61" w:rsidRDefault="00FF58F6" w:rsidP="00FF58F6">
      <w:pPr>
        <w:ind w:left="180"/>
        <w:rPr>
          <w:rFonts w:ascii="Times New Roman" w:hAnsi="Times New Roman" w:cs="Times New Roman"/>
          <w:sz w:val="24"/>
          <w:szCs w:val="24"/>
        </w:rPr>
      </w:pPr>
      <w:r w:rsidRPr="00D95D61">
        <w:rPr>
          <w:rFonts w:ascii="Times New Roman" w:hAnsi="Times New Roman" w:cs="Times New Roman"/>
          <w:sz w:val="24"/>
          <w:szCs w:val="24"/>
        </w:rPr>
        <w:t xml:space="preserve">To account for the variability in the fecal coliform test, a standard has been established. Here again, since bacteria grows exponentially, the calculations are performed on a logarithmic scale. The P90 is based on the distribution of fecal coliform scores and means that 90% of scores are at are below the P90 and 10% scores are above (Figures 2a and 2b). </w:t>
      </w:r>
      <w:proofErr w:type="gramStart"/>
      <w:r w:rsidRPr="00D95D61">
        <w:rPr>
          <w:rFonts w:ascii="Times New Roman" w:hAnsi="Times New Roman" w:cs="Times New Roman"/>
          <w:sz w:val="24"/>
          <w:szCs w:val="24"/>
        </w:rPr>
        <w:t>As long as</w:t>
      </w:r>
      <w:proofErr w:type="gramEnd"/>
      <w:r w:rsidRPr="00D95D61">
        <w:rPr>
          <w:rFonts w:ascii="Times New Roman" w:hAnsi="Times New Roman" w:cs="Times New Roman"/>
          <w:sz w:val="24"/>
          <w:szCs w:val="24"/>
        </w:rPr>
        <w:t xml:space="preserve"> most of the other scores are low, a few high scores will not have a large impact on the P90 value. The P90 standard is the acknowledgment by the NSSP that a few high scores in data set may be due to the variability of the test method. If the area shows high fecal coliform scores intermittently due to pollution events such as rainfall, this may cause water quality to exceed the P90 standards because the shellfish are intermittently subject to polluted waters. </w:t>
      </w:r>
      <w:r>
        <w:rPr>
          <w:rFonts w:ascii="Times New Roman" w:hAnsi="Times New Roman" w:cs="Times New Roman"/>
          <w:sz w:val="24"/>
          <w:szCs w:val="24"/>
        </w:rPr>
        <w:t>For classification determinations, P90s are rounded to the nearest whole number.  0.1-0.49 are rounded down and 0.5-0.9 are rounded up to the next whole number.</w:t>
      </w:r>
    </w:p>
    <w:p w14:paraId="3A404CBF" w14:textId="77777777" w:rsidR="00FF58F6" w:rsidRPr="00435E53" w:rsidRDefault="00FF58F6" w:rsidP="00FF58F6">
      <w:pPr>
        <w:ind w:left="180"/>
        <w:rPr>
          <w:rFonts w:ascii="Times New Roman" w:hAnsi="Times New Roman" w:cs="Times New Roman"/>
        </w:rPr>
      </w:pPr>
    </w:p>
    <w:p w14:paraId="4FCCFD66" w14:textId="77777777" w:rsidR="00FF58F6" w:rsidRPr="00435E53" w:rsidRDefault="00FF58F6" w:rsidP="00FF58F6">
      <w:pPr>
        <w:ind w:left="180"/>
        <w:rPr>
          <w:rFonts w:ascii="Times New Roman" w:hAnsi="Times New Roman" w:cs="Times New Roman"/>
        </w:rPr>
      </w:pPr>
    </w:p>
    <w:p w14:paraId="06220CDF" w14:textId="77777777" w:rsidR="00FF58F6" w:rsidRPr="00435E53" w:rsidRDefault="00FF58F6" w:rsidP="00FF58F6">
      <w:pPr>
        <w:ind w:left="180"/>
        <w:rPr>
          <w:rFonts w:ascii="Times New Roman" w:hAnsi="Times New Roman" w:cs="Times New Roman"/>
        </w:rPr>
      </w:pPr>
      <w:r w:rsidRPr="00435E53">
        <w:rPr>
          <w:rFonts w:ascii="Times New Roman" w:hAnsi="Times New Roman" w:cs="Times New Roman"/>
          <w:noProof/>
        </w:rPr>
        <w:drawing>
          <wp:inline distT="0" distB="0" distL="0" distR="0" wp14:anchorId="03BF5759" wp14:editId="5E86B48B">
            <wp:extent cx="2823516" cy="29578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6267" cy="2960767"/>
                    </a:xfrm>
                    <a:prstGeom prst="rect">
                      <a:avLst/>
                    </a:prstGeom>
                    <a:noFill/>
                    <a:ln>
                      <a:noFill/>
                    </a:ln>
                  </pic:spPr>
                </pic:pic>
              </a:graphicData>
            </a:graphic>
          </wp:inline>
        </w:drawing>
      </w:r>
    </w:p>
    <w:p w14:paraId="6354802E" w14:textId="77777777" w:rsidR="00FF58F6" w:rsidRPr="00435E53" w:rsidRDefault="00FF58F6" w:rsidP="00FF58F6">
      <w:pPr>
        <w:ind w:left="180"/>
        <w:rPr>
          <w:rFonts w:ascii="Times New Roman" w:hAnsi="Times New Roman" w:cs="Times New Roman"/>
        </w:rPr>
      </w:pPr>
    </w:p>
    <w:p w14:paraId="3BC65541" w14:textId="77777777" w:rsidR="00FF58F6" w:rsidRPr="00435E53" w:rsidRDefault="00FF58F6" w:rsidP="00FF58F6">
      <w:pPr>
        <w:pStyle w:val="BodyText"/>
        <w:tabs>
          <w:tab w:val="left" w:pos="6660"/>
        </w:tabs>
        <w:spacing w:line="280" w:lineRule="exact"/>
        <w:ind w:left="180" w:right="228"/>
        <w:rPr>
          <w:rFonts w:cs="Times New Roman"/>
        </w:rPr>
      </w:pPr>
      <w:r w:rsidRPr="00435E53">
        <w:rPr>
          <w:rFonts w:cs="Times New Roman"/>
          <w:b/>
          <w:sz w:val="20"/>
          <w:szCs w:val="20"/>
        </w:rPr>
        <w:t>Figures 2a and b.</w:t>
      </w:r>
      <w:r w:rsidRPr="00435E53">
        <w:rPr>
          <w:rFonts w:cs="Times New Roman"/>
          <w:sz w:val="20"/>
          <w:szCs w:val="20"/>
        </w:rPr>
        <w:t xml:space="preserve"> The lower 90% of the scores fall to the left of the P90 line and 10% of the scores fall to the right.  2a has a low P90 because there are many low scores and a few high scores. 2b has a larger number of high fecal coliform scores, so the P90 is shifted to the right. Although the geomean of 2b passes the approved standard, the area would not be classified as approved because the P90 score is above the threshold.</w:t>
      </w:r>
    </w:p>
    <w:p w14:paraId="42C171B5" w14:textId="77777777" w:rsidR="00FF58F6" w:rsidRDefault="00FF58F6" w:rsidP="00FF58F6">
      <w:pPr>
        <w:tabs>
          <w:tab w:val="left" w:pos="6660"/>
        </w:tabs>
        <w:spacing w:before="3" w:line="320" w:lineRule="exact"/>
        <w:ind w:left="180"/>
        <w:rPr>
          <w:sz w:val="32"/>
          <w:szCs w:val="32"/>
        </w:rPr>
      </w:pPr>
    </w:p>
    <w:p w14:paraId="12341774" w14:textId="77777777" w:rsidR="00FF58F6" w:rsidRDefault="00FF58F6" w:rsidP="00FF58F6">
      <w:pPr>
        <w:pStyle w:val="Heading3"/>
        <w:tabs>
          <w:tab w:val="left" w:pos="6660"/>
        </w:tabs>
        <w:ind w:left="1140" w:right="828" w:firstLine="0"/>
        <w:rPr>
          <w:b w:val="0"/>
          <w:bCs w:val="0"/>
        </w:rPr>
      </w:pPr>
      <w:r>
        <w:t xml:space="preserve">Fecal Coliform Standards by Shellfish </w:t>
      </w:r>
      <w:r>
        <w:rPr>
          <w:spacing w:val="-1"/>
        </w:rPr>
        <w:t>Growing</w:t>
      </w:r>
      <w:r>
        <w:t xml:space="preserve"> Area Classification Category</w:t>
      </w:r>
    </w:p>
    <w:tbl>
      <w:tblPr>
        <w:tblW w:w="0" w:type="auto"/>
        <w:tblInd w:w="317" w:type="dxa"/>
        <w:tblLayout w:type="fixed"/>
        <w:tblCellMar>
          <w:left w:w="0" w:type="dxa"/>
          <w:right w:w="0" w:type="dxa"/>
        </w:tblCellMar>
        <w:tblLook w:val="01E0" w:firstRow="1" w:lastRow="1" w:firstColumn="1" w:lastColumn="1" w:noHBand="0" w:noVBand="0"/>
      </w:tblPr>
      <w:tblGrid>
        <w:gridCol w:w="2448"/>
        <w:gridCol w:w="2790"/>
        <w:gridCol w:w="2160"/>
        <w:gridCol w:w="2430"/>
      </w:tblGrid>
      <w:tr w:rsidR="00FF58F6" w14:paraId="7E1B5173" w14:textId="77777777" w:rsidTr="002837FC">
        <w:trPr>
          <w:trHeight w:hRule="exact" w:val="575"/>
        </w:trPr>
        <w:tc>
          <w:tcPr>
            <w:tcW w:w="2448" w:type="dxa"/>
            <w:tcBorders>
              <w:top w:val="single" w:sz="7" w:space="0" w:color="000000"/>
              <w:left w:val="single" w:sz="7" w:space="0" w:color="000000"/>
              <w:bottom w:val="single" w:sz="7" w:space="0" w:color="000000"/>
              <w:right w:val="single" w:sz="7" w:space="0" w:color="000000"/>
            </w:tcBorders>
          </w:tcPr>
          <w:p w14:paraId="737489CA" w14:textId="77777777" w:rsidR="00FF58F6" w:rsidRPr="00C00A4A" w:rsidRDefault="00FF58F6" w:rsidP="002837FC">
            <w:pPr>
              <w:pStyle w:val="TableParagraph"/>
              <w:tabs>
                <w:tab w:val="left" w:pos="6660"/>
              </w:tabs>
              <w:spacing w:line="243" w:lineRule="auto"/>
              <w:ind w:left="99" w:right="119"/>
              <w:rPr>
                <w:rFonts w:ascii="Times New Roman" w:eastAsia="Times New Roman" w:hAnsi="Times New Roman" w:cs="Times New Roman"/>
                <w:b/>
                <w:sz w:val="24"/>
                <w:szCs w:val="24"/>
              </w:rPr>
            </w:pPr>
            <w:r w:rsidRPr="00C00A4A">
              <w:rPr>
                <w:rFonts w:ascii="Times New Roman"/>
                <w:b/>
                <w:sz w:val="24"/>
              </w:rPr>
              <w:t>Shellfish Growing Area Classification</w:t>
            </w:r>
          </w:p>
        </w:tc>
        <w:tc>
          <w:tcPr>
            <w:tcW w:w="2790" w:type="dxa"/>
            <w:tcBorders>
              <w:top w:val="single" w:sz="7" w:space="0" w:color="000000"/>
              <w:left w:val="single" w:sz="7" w:space="0" w:color="000000"/>
              <w:bottom w:val="single" w:sz="7" w:space="0" w:color="000000"/>
              <w:right w:val="single" w:sz="7" w:space="0" w:color="000000"/>
            </w:tcBorders>
          </w:tcPr>
          <w:p w14:paraId="58D7039E" w14:textId="77777777" w:rsidR="00FF58F6" w:rsidRPr="00C00A4A" w:rsidRDefault="00FF58F6" w:rsidP="002837FC">
            <w:pPr>
              <w:pStyle w:val="TableParagraph"/>
              <w:tabs>
                <w:tab w:val="left" w:pos="6660"/>
              </w:tabs>
              <w:ind w:left="99" w:right="128"/>
              <w:rPr>
                <w:rFonts w:ascii="Times New Roman" w:eastAsia="Times New Roman" w:hAnsi="Times New Roman" w:cs="Times New Roman"/>
                <w:b/>
                <w:sz w:val="24"/>
                <w:szCs w:val="24"/>
              </w:rPr>
            </w:pPr>
            <w:r w:rsidRPr="00C00A4A">
              <w:rPr>
                <w:rFonts w:ascii="Times New Roman"/>
                <w:b/>
                <w:sz w:val="24"/>
              </w:rPr>
              <w:t>Activity Allowed</w:t>
            </w:r>
          </w:p>
        </w:tc>
        <w:tc>
          <w:tcPr>
            <w:tcW w:w="2160" w:type="dxa"/>
            <w:tcBorders>
              <w:top w:val="single" w:sz="7" w:space="0" w:color="000000"/>
              <w:left w:val="single" w:sz="7" w:space="0" w:color="000000"/>
              <w:bottom w:val="single" w:sz="7" w:space="0" w:color="000000"/>
              <w:right w:val="single" w:sz="7" w:space="0" w:color="000000"/>
            </w:tcBorders>
          </w:tcPr>
          <w:p w14:paraId="4BB29A57" w14:textId="77777777" w:rsidR="00FF58F6" w:rsidRPr="00C00A4A" w:rsidRDefault="00FF58F6" w:rsidP="002837FC">
            <w:pPr>
              <w:pStyle w:val="TableParagraph"/>
              <w:tabs>
                <w:tab w:val="left" w:pos="6660"/>
              </w:tabs>
              <w:spacing w:line="243" w:lineRule="auto"/>
              <w:ind w:left="99"/>
              <w:rPr>
                <w:rFonts w:ascii="Times New Roman" w:eastAsia="Times New Roman" w:hAnsi="Times New Roman" w:cs="Times New Roman"/>
                <w:b/>
                <w:sz w:val="24"/>
                <w:szCs w:val="24"/>
              </w:rPr>
            </w:pPr>
            <w:r w:rsidRPr="00C00A4A">
              <w:rPr>
                <w:rFonts w:ascii="Times New Roman"/>
                <w:b/>
                <w:spacing w:val="-1"/>
                <w:sz w:val="24"/>
              </w:rPr>
              <w:t>Geometric</w:t>
            </w:r>
            <w:r w:rsidRPr="00C00A4A">
              <w:rPr>
                <w:rFonts w:ascii="Times New Roman"/>
                <w:b/>
                <w:sz w:val="24"/>
              </w:rPr>
              <w:t xml:space="preserve"> </w:t>
            </w:r>
            <w:r w:rsidRPr="00C00A4A">
              <w:rPr>
                <w:rFonts w:ascii="Times New Roman"/>
                <w:b/>
                <w:spacing w:val="-1"/>
                <w:sz w:val="24"/>
              </w:rPr>
              <w:t>mean</w:t>
            </w:r>
            <w:r w:rsidRPr="00C00A4A">
              <w:rPr>
                <w:rFonts w:ascii="Times New Roman"/>
                <w:b/>
                <w:spacing w:val="29"/>
                <w:sz w:val="24"/>
              </w:rPr>
              <w:t xml:space="preserve"> </w:t>
            </w:r>
            <w:r w:rsidRPr="00C00A4A">
              <w:rPr>
                <w:rFonts w:ascii="Times New Roman"/>
                <w:b/>
                <w:spacing w:val="-1"/>
                <w:sz w:val="24"/>
              </w:rPr>
              <w:t>FC/100ml</w:t>
            </w:r>
          </w:p>
        </w:tc>
        <w:tc>
          <w:tcPr>
            <w:tcW w:w="2430" w:type="dxa"/>
            <w:tcBorders>
              <w:top w:val="single" w:sz="7" w:space="0" w:color="000000"/>
              <w:left w:val="single" w:sz="7" w:space="0" w:color="000000"/>
              <w:bottom w:val="single" w:sz="7" w:space="0" w:color="000000"/>
              <w:right w:val="single" w:sz="7" w:space="0" w:color="000000"/>
            </w:tcBorders>
          </w:tcPr>
          <w:p w14:paraId="1DD7E28F" w14:textId="77777777" w:rsidR="00FF58F6" w:rsidRPr="00C00A4A" w:rsidRDefault="00FF58F6" w:rsidP="002837FC">
            <w:pPr>
              <w:pStyle w:val="TableParagraph"/>
              <w:tabs>
                <w:tab w:val="left" w:pos="6660"/>
              </w:tabs>
              <w:spacing w:line="280" w:lineRule="exact"/>
              <w:ind w:left="99"/>
              <w:rPr>
                <w:rFonts w:ascii="Times New Roman" w:eastAsia="Times New Roman" w:hAnsi="Times New Roman" w:cs="Times New Roman"/>
                <w:b/>
                <w:sz w:val="24"/>
                <w:szCs w:val="24"/>
              </w:rPr>
            </w:pPr>
            <w:r w:rsidRPr="00C00A4A">
              <w:rPr>
                <w:rFonts w:ascii="Times New Roman"/>
                <w:b/>
                <w:sz w:val="24"/>
              </w:rPr>
              <w:t>90</w:t>
            </w:r>
            <w:proofErr w:type="spellStart"/>
            <w:r w:rsidRPr="00C00A4A">
              <w:rPr>
                <w:rFonts w:ascii="Times New Roman"/>
                <w:b/>
                <w:position w:val="11"/>
                <w:sz w:val="16"/>
              </w:rPr>
              <w:t>th</w:t>
            </w:r>
            <w:proofErr w:type="spellEnd"/>
            <w:r w:rsidRPr="00C00A4A">
              <w:rPr>
                <w:rFonts w:ascii="Times New Roman"/>
                <w:b/>
                <w:spacing w:val="19"/>
                <w:position w:val="11"/>
                <w:sz w:val="16"/>
              </w:rPr>
              <w:t xml:space="preserve"> </w:t>
            </w:r>
            <w:r w:rsidRPr="00C00A4A">
              <w:rPr>
                <w:rFonts w:ascii="Times New Roman"/>
                <w:b/>
                <w:sz w:val="24"/>
              </w:rPr>
              <w:t>Percentile</w:t>
            </w:r>
            <w:r w:rsidRPr="00C00A4A">
              <w:rPr>
                <w:rFonts w:ascii="Times New Roman"/>
                <w:b/>
                <w:spacing w:val="-1"/>
                <w:sz w:val="24"/>
              </w:rPr>
              <w:t xml:space="preserve"> </w:t>
            </w:r>
            <w:r w:rsidRPr="00C00A4A">
              <w:rPr>
                <w:rFonts w:ascii="Times New Roman"/>
                <w:b/>
                <w:sz w:val="24"/>
              </w:rPr>
              <w:t xml:space="preserve">(P90) </w:t>
            </w:r>
            <w:r w:rsidRPr="00C00A4A">
              <w:rPr>
                <w:rFonts w:ascii="Times New Roman"/>
                <w:b/>
                <w:spacing w:val="-1"/>
                <w:sz w:val="24"/>
              </w:rPr>
              <w:t>FC/100</w:t>
            </w:r>
            <w:r>
              <w:rPr>
                <w:rFonts w:ascii="Times New Roman"/>
                <w:b/>
                <w:spacing w:val="-1"/>
                <w:sz w:val="24"/>
              </w:rPr>
              <w:t>ml</w:t>
            </w:r>
          </w:p>
        </w:tc>
      </w:tr>
      <w:tr w:rsidR="00FF58F6" w14:paraId="41034573" w14:textId="77777777" w:rsidTr="002837FC">
        <w:trPr>
          <w:trHeight w:hRule="exact" w:val="295"/>
        </w:trPr>
        <w:tc>
          <w:tcPr>
            <w:tcW w:w="2448" w:type="dxa"/>
            <w:tcBorders>
              <w:top w:val="single" w:sz="7" w:space="0" w:color="000000"/>
              <w:left w:val="single" w:sz="7" w:space="0" w:color="000000"/>
              <w:bottom w:val="single" w:sz="7" w:space="0" w:color="000000"/>
              <w:right w:val="single" w:sz="7" w:space="0" w:color="000000"/>
            </w:tcBorders>
          </w:tcPr>
          <w:p w14:paraId="7910B03F" w14:textId="77777777" w:rsidR="00FF58F6" w:rsidRDefault="00FF58F6" w:rsidP="002837FC">
            <w:pPr>
              <w:pStyle w:val="TableParagraph"/>
              <w:tabs>
                <w:tab w:val="left" w:pos="6660"/>
              </w:tabs>
              <w:ind w:left="99" w:right="119"/>
              <w:rPr>
                <w:rFonts w:ascii="Times New Roman" w:eastAsia="Times New Roman" w:hAnsi="Times New Roman" w:cs="Times New Roman"/>
                <w:sz w:val="24"/>
                <w:szCs w:val="24"/>
              </w:rPr>
            </w:pPr>
            <w:r>
              <w:rPr>
                <w:rFonts w:ascii="Times New Roman"/>
                <w:sz w:val="24"/>
              </w:rPr>
              <w:t>Approved</w:t>
            </w:r>
          </w:p>
        </w:tc>
        <w:tc>
          <w:tcPr>
            <w:tcW w:w="2790" w:type="dxa"/>
            <w:tcBorders>
              <w:top w:val="single" w:sz="7" w:space="0" w:color="000000"/>
              <w:left w:val="single" w:sz="7" w:space="0" w:color="000000"/>
              <w:bottom w:val="single" w:sz="7" w:space="0" w:color="000000"/>
              <w:right w:val="single" w:sz="7" w:space="0" w:color="000000"/>
            </w:tcBorders>
          </w:tcPr>
          <w:p w14:paraId="10464A50" w14:textId="77777777" w:rsidR="00FF58F6" w:rsidRDefault="00FF58F6" w:rsidP="002837FC">
            <w:pPr>
              <w:pStyle w:val="TableParagraph"/>
              <w:tabs>
                <w:tab w:val="left" w:pos="6660"/>
              </w:tabs>
              <w:ind w:left="100"/>
              <w:rPr>
                <w:rFonts w:ascii="Times New Roman" w:eastAsia="Times New Roman" w:hAnsi="Times New Roman" w:cs="Times New Roman"/>
                <w:sz w:val="24"/>
                <w:szCs w:val="24"/>
              </w:rPr>
            </w:pPr>
            <w:r>
              <w:rPr>
                <w:rFonts w:ascii="Times New Roman"/>
                <w:sz w:val="24"/>
              </w:rPr>
              <w:t>Harvesting allowed</w:t>
            </w:r>
          </w:p>
        </w:tc>
        <w:tc>
          <w:tcPr>
            <w:tcW w:w="2160" w:type="dxa"/>
            <w:tcBorders>
              <w:top w:val="single" w:sz="7" w:space="0" w:color="000000"/>
              <w:left w:val="single" w:sz="7" w:space="0" w:color="000000"/>
              <w:bottom w:val="single" w:sz="7" w:space="0" w:color="000000"/>
              <w:right w:val="single" w:sz="7" w:space="0" w:color="000000"/>
            </w:tcBorders>
          </w:tcPr>
          <w:p w14:paraId="739DA86A"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 14</w:t>
            </w:r>
          </w:p>
        </w:tc>
        <w:tc>
          <w:tcPr>
            <w:tcW w:w="2430" w:type="dxa"/>
            <w:tcBorders>
              <w:top w:val="single" w:sz="7" w:space="0" w:color="000000"/>
              <w:left w:val="single" w:sz="7" w:space="0" w:color="000000"/>
              <w:bottom w:val="single" w:sz="7" w:space="0" w:color="000000"/>
              <w:right w:val="single" w:sz="7" w:space="0" w:color="000000"/>
            </w:tcBorders>
          </w:tcPr>
          <w:p w14:paraId="0252E40C"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31</w:t>
            </w:r>
          </w:p>
        </w:tc>
      </w:tr>
      <w:tr w:rsidR="00FF58F6" w14:paraId="7847BA55" w14:textId="77777777" w:rsidTr="002837FC">
        <w:trPr>
          <w:trHeight w:hRule="exact" w:val="854"/>
        </w:trPr>
        <w:tc>
          <w:tcPr>
            <w:tcW w:w="2448" w:type="dxa"/>
            <w:tcBorders>
              <w:top w:val="single" w:sz="7" w:space="0" w:color="000000"/>
              <w:left w:val="single" w:sz="7" w:space="0" w:color="000000"/>
              <w:bottom w:val="single" w:sz="7" w:space="0" w:color="000000"/>
              <w:right w:val="single" w:sz="7" w:space="0" w:color="000000"/>
            </w:tcBorders>
          </w:tcPr>
          <w:p w14:paraId="358C233F" w14:textId="77777777" w:rsidR="00FF58F6" w:rsidRDefault="00FF58F6" w:rsidP="002837FC">
            <w:pPr>
              <w:pStyle w:val="TableParagraph"/>
              <w:tabs>
                <w:tab w:val="left" w:pos="6660"/>
              </w:tabs>
              <w:spacing w:line="243" w:lineRule="auto"/>
              <w:ind w:left="99" w:right="119"/>
              <w:rPr>
                <w:rFonts w:ascii="Times New Roman" w:eastAsia="Times New Roman" w:hAnsi="Times New Roman" w:cs="Times New Roman"/>
                <w:sz w:val="24"/>
                <w:szCs w:val="24"/>
              </w:rPr>
            </w:pPr>
            <w:r>
              <w:rPr>
                <w:rFonts w:ascii="Times New Roman"/>
                <w:sz w:val="24"/>
              </w:rPr>
              <w:t>Conditionally Approved</w:t>
            </w:r>
          </w:p>
        </w:tc>
        <w:tc>
          <w:tcPr>
            <w:tcW w:w="2790" w:type="dxa"/>
            <w:tcBorders>
              <w:top w:val="single" w:sz="7" w:space="0" w:color="000000"/>
              <w:left w:val="single" w:sz="7" w:space="0" w:color="000000"/>
              <w:bottom w:val="single" w:sz="7" w:space="0" w:color="000000"/>
              <w:right w:val="single" w:sz="7" w:space="0" w:color="000000"/>
            </w:tcBorders>
          </w:tcPr>
          <w:p w14:paraId="5C3109E4" w14:textId="77777777" w:rsidR="00FF58F6" w:rsidRDefault="00FF58F6" w:rsidP="002837FC">
            <w:pPr>
              <w:pStyle w:val="TableParagraph"/>
              <w:tabs>
                <w:tab w:val="left" w:pos="6660"/>
              </w:tabs>
              <w:spacing w:line="243" w:lineRule="auto"/>
              <w:ind w:left="99" w:right="110"/>
              <w:rPr>
                <w:rFonts w:ascii="Times New Roman" w:eastAsia="Times New Roman" w:hAnsi="Times New Roman" w:cs="Times New Roman"/>
                <w:sz w:val="24"/>
                <w:szCs w:val="24"/>
              </w:rPr>
            </w:pPr>
            <w:r>
              <w:rPr>
                <w:rFonts w:ascii="Times New Roman"/>
                <w:sz w:val="24"/>
              </w:rPr>
              <w:t>Harvesting allowed except during specified conditions</w:t>
            </w:r>
          </w:p>
        </w:tc>
        <w:tc>
          <w:tcPr>
            <w:tcW w:w="2160" w:type="dxa"/>
            <w:tcBorders>
              <w:top w:val="single" w:sz="7" w:space="0" w:color="000000"/>
              <w:left w:val="single" w:sz="7" w:space="0" w:color="000000"/>
              <w:bottom w:val="single" w:sz="7" w:space="0" w:color="000000"/>
              <w:right w:val="single" w:sz="7" w:space="0" w:color="000000"/>
            </w:tcBorders>
          </w:tcPr>
          <w:p w14:paraId="60556025"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sz w:val="24"/>
              </w:rPr>
              <w:t>14 in open status</w:t>
            </w:r>
          </w:p>
        </w:tc>
        <w:tc>
          <w:tcPr>
            <w:tcW w:w="2430" w:type="dxa"/>
            <w:tcBorders>
              <w:top w:val="single" w:sz="7" w:space="0" w:color="000000"/>
              <w:left w:val="single" w:sz="7" w:space="0" w:color="000000"/>
              <w:bottom w:val="single" w:sz="7" w:space="0" w:color="000000"/>
              <w:right w:val="single" w:sz="7" w:space="0" w:color="000000"/>
            </w:tcBorders>
          </w:tcPr>
          <w:p w14:paraId="46564FFF"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sz w:val="24"/>
              </w:rPr>
              <w:t>31 in open status</w:t>
            </w:r>
          </w:p>
        </w:tc>
      </w:tr>
      <w:tr w:rsidR="00FF58F6" w14:paraId="2FD2EC20" w14:textId="77777777" w:rsidTr="002837FC">
        <w:trPr>
          <w:trHeight w:hRule="exact" w:val="575"/>
        </w:trPr>
        <w:tc>
          <w:tcPr>
            <w:tcW w:w="2448" w:type="dxa"/>
            <w:tcBorders>
              <w:top w:val="single" w:sz="7" w:space="0" w:color="000000"/>
              <w:left w:val="single" w:sz="7" w:space="0" w:color="000000"/>
              <w:bottom w:val="single" w:sz="7" w:space="0" w:color="000000"/>
              <w:right w:val="single" w:sz="7" w:space="0" w:color="000000"/>
            </w:tcBorders>
          </w:tcPr>
          <w:p w14:paraId="72C440C4" w14:textId="77777777" w:rsidR="00FF58F6" w:rsidRDefault="00FF58F6" w:rsidP="002837FC">
            <w:pPr>
              <w:pStyle w:val="TableParagraph"/>
              <w:tabs>
                <w:tab w:val="left" w:pos="6660"/>
              </w:tabs>
              <w:ind w:left="99" w:right="119"/>
              <w:rPr>
                <w:rFonts w:ascii="Times New Roman" w:eastAsia="Times New Roman" w:hAnsi="Times New Roman" w:cs="Times New Roman"/>
                <w:sz w:val="24"/>
                <w:szCs w:val="24"/>
              </w:rPr>
            </w:pPr>
            <w:r>
              <w:rPr>
                <w:rFonts w:ascii="Times New Roman"/>
                <w:sz w:val="24"/>
              </w:rPr>
              <w:t>Restricted</w:t>
            </w:r>
          </w:p>
        </w:tc>
        <w:tc>
          <w:tcPr>
            <w:tcW w:w="2790" w:type="dxa"/>
            <w:tcBorders>
              <w:top w:val="single" w:sz="7" w:space="0" w:color="000000"/>
              <w:left w:val="single" w:sz="7" w:space="0" w:color="000000"/>
              <w:bottom w:val="single" w:sz="7" w:space="0" w:color="000000"/>
              <w:right w:val="single" w:sz="7" w:space="0" w:color="000000"/>
            </w:tcBorders>
          </w:tcPr>
          <w:p w14:paraId="6DF5A300" w14:textId="77777777" w:rsidR="00FF58F6" w:rsidRDefault="00FF58F6" w:rsidP="002837FC">
            <w:pPr>
              <w:pStyle w:val="TableParagraph"/>
              <w:tabs>
                <w:tab w:val="left" w:pos="6660"/>
              </w:tabs>
              <w:spacing w:line="243" w:lineRule="auto"/>
              <w:ind w:left="99" w:right="128" w:hanging="1"/>
              <w:rPr>
                <w:rFonts w:ascii="Times New Roman" w:eastAsia="Times New Roman" w:hAnsi="Times New Roman" w:cs="Times New Roman"/>
                <w:sz w:val="24"/>
                <w:szCs w:val="24"/>
              </w:rPr>
            </w:pPr>
            <w:r>
              <w:rPr>
                <w:rFonts w:ascii="Times New Roman"/>
                <w:sz w:val="24"/>
              </w:rPr>
              <w:t>Depuration harvesting or relay only</w:t>
            </w:r>
          </w:p>
        </w:tc>
        <w:tc>
          <w:tcPr>
            <w:tcW w:w="2160" w:type="dxa"/>
            <w:tcBorders>
              <w:top w:val="single" w:sz="7" w:space="0" w:color="000000"/>
              <w:left w:val="single" w:sz="7" w:space="0" w:color="000000"/>
              <w:bottom w:val="single" w:sz="7" w:space="0" w:color="000000"/>
              <w:right w:val="single" w:sz="7" w:space="0" w:color="000000"/>
            </w:tcBorders>
          </w:tcPr>
          <w:p w14:paraId="037B2453"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 88 and &gt;15</w:t>
            </w:r>
          </w:p>
        </w:tc>
        <w:tc>
          <w:tcPr>
            <w:tcW w:w="2430" w:type="dxa"/>
            <w:tcBorders>
              <w:top w:val="single" w:sz="7" w:space="0" w:color="000000"/>
              <w:left w:val="single" w:sz="7" w:space="0" w:color="000000"/>
              <w:bottom w:val="single" w:sz="7" w:space="0" w:color="000000"/>
              <w:right w:val="single" w:sz="7" w:space="0" w:color="000000"/>
            </w:tcBorders>
          </w:tcPr>
          <w:p w14:paraId="262D383B"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163 and &gt;31</w:t>
            </w:r>
          </w:p>
        </w:tc>
      </w:tr>
      <w:tr w:rsidR="00FF58F6" w14:paraId="2EBB4835" w14:textId="77777777" w:rsidTr="002837FC">
        <w:trPr>
          <w:trHeight w:hRule="exact" w:val="1075"/>
        </w:trPr>
        <w:tc>
          <w:tcPr>
            <w:tcW w:w="2448" w:type="dxa"/>
            <w:tcBorders>
              <w:top w:val="single" w:sz="7" w:space="0" w:color="000000"/>
              <w:left w:val="single" w:sz="7" w:space="0" w:color="000000"/>
              <w:bottom w:val="single" w:sz="7" w:space="0" w:color="000000"/>
              <w:right w:val="single" w:sz="7" w:space="0" w:color="000000"/>
            </w:tcBorders>
          </w:tcPr>
          <w:p w14:paraId="49B96669" w14:textId="77777777" w:rsidR="00FF58F6" w:rsidRDefault="00FF58F6" w:rsidP="002837FC">
            <w:pPr>
              <w:pStyle w:val="TableParagraph"/>
              <w:tabs>
                <w:tab w:val="left" w:pos="6660"/>
              </w:tabs>
              <w:spacing w:line="243" w:lineRule="auto"/>
              <w:ind w:left="99" w:right="119"/>
              <w:rPr>
                <w:rFonts w:ascii="Times New Roman" w:eastAsia="Times New Roman" w:hAnsi="Times New Roman" w:cs="Times New Roman"/>
                <w:sz w:val="24"/>
                <w:szCs w:val="24"/>
              </w:rPr>
            </w:pPr>
            <w:r>
              <w:rPr>
                <w:rFonts w:ascii="Times New Roman"/>
                <w:sz w:val="24"/>
              </w:rPr>
              <w:t>Conditionally Restricted</w:t>
            </w:r>
          </w:p>
        </w:tc>
        <w:tc>
          <w:tcPr>
            <w:tcW w:w="2790" w:type="dxa"/>
            <w:tcBorders>
              <w:top w:val="single" w:sz="7" w:space="0" w:color="000000"/>
              <w:left w:val="single" w:sz="7" w:space="0" w:color="000000"/>
              <w:bottom w:val="single" w:sz="7" w:space="0" w:color="000000"/>
              <w:right w:val="single" w:sz="7" w:space="0" w:color="000000"/>
            </w:tcBorders>
          </w:tcPr>
          <w:p w14:paraId="689A9B5D" w14:textId="77777777" w:rsidR="00FF58F6" w:rsidRDefault="00FF58F6" w:rsidP="002837FC">
            <w:pPr>
              <w:pStyle w:val="TableParagraph"/>
              <w:tabs>
                <w:tab w:val="left" w:pos="6660"/>
              </w:tabs>
              <w:spacing w:line="243" w:lineRule="auto"/>
              <w:ind w:left="99" w:right="530"/>
              <w:rPr>
                <w:rFonts w:ascii="Times New Roman" w:eastAsia="Times New Roman" w:hAnsi="Times New Roman" w:cs="Times New Roman"/>
                <w:sz w:val="24"/>
                <w:szCs w:val="24"/>
              </w:rPr>
            </w:pPr>
            <w:r>
              <w:rPr>
                <w:rFonts w:ascii="Times New Roman"/>
                <w:sz w:val="24"/>
              </w:rPr>
              <w:t xml:space="preserve">Depuration </w:t>
            </w:r>
            <w:proofErr w:type="gramStart"/>
            <w:r>
              <w:rPr>
                <w:rFonts w:ascii="Times New Roman"/>
                <w:sz w:val="24"/>
              </w:rPr>
              <w:t>harvesting</w:t>
            </w:r>
            <w:proofErr w:type="gramEnd"/>
            <w:r>
              <w:rPr>
                <w:rFonts w:ascii="Times New Roman"/>
                <w:sz w:val="24"/>
              </w:rPr>
              <w:t xml:space="preserve"> or relay allowed except during specified conditions</w:t>
            </w:r>
          </w:p>
        </w:tc>
        <w:tc>
          <w:tcPr>
            <w:tcW w:w="2160" w:type="dxa"/>
            <w:tcBorders>
              <w:top w:val="single" w:sz="7" w:space="0" w:color="000000"/>
              <w:left w:val="single" w:sz="7" w:space="0" w:color="000000"/>
              <w:bottom w:val="single" w:sz="7" w:space="0" w:color="000000"/>
              <w:right w:val="single" w:sz="7" w:space="0" w:color="000000"/>
            </w:tcBorders>
          </w:tcPr>
          <w:p w14:paraId="0E473B18"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 xml:space="preserve">88 </w:t>
            </w:r>
            <w:r>
              <w:rPr>
                <w:rFonts w:ascii="Times New Roman"/>
                <w:sz w:val="24"/>
              </w:rPr>
              <w:t>in open status</w:t>
            </w:r>
          </w:p>
        </w:tc>
        <w:tc>
          <w:tcPr>
            <w:tcW w:w="2430" w:type="dxa"/>
            <w:tcBorders>
              <w:top w:val="single" w:sz="7" w:space="0" w:color="000000"/>
              <w:left w:val="single" w:sz="7" w:space="0" w:color="000000"/>
              <w:bottom w:val="single" w:sz="7" w:space="0" w:color="000000"/>
              <w:right w:val="single" w:sz="7" w:space="0" w:color="000000"/>
            </w:tcBorders>
          </w:tcPr>
          <w:p w14:paraId="5DB2C84E"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 163</w:t>
            </w:r>
            <w:r>
              <w:rPr>
                <w:rFonts w:ascii="Times New Roman"/>
                <w:sz w:val="24"/>
              </w:rPr>
              <w:t xml:space="preserve"> in open status</w:t>
            </w:r>
          </w:p>
        </w:tc>
      </w:tr>
      <w:tr w:rsidR="00FF58F6" w14:paraId="46894B29" w14:textId="77777777" w:rsidTr="002837FC">
        <w:trPr>
          <w:trHeight w:hRule="exact" w:val="670"/>
        </w:trPr>
        <w:tc>
          <w:tcPr>
            <w:tcW w:w="2448" w:type="dxa"/>
            <w:tcBorders>
              <w:top w:val="single" w:sz="7" w:space="0" w:color="000000"/>
              <w:left w:val="single" w:sz="7" w:space="0" w:color="000000"/>
              <w:bottom w:val="single" w:sz="7" w:space="0" w:color="000000"/>
              <w:right w:val="single" w:sz="7" w:space="0" w:color="000000"/>
            </w:tcBorders>
          </w:tcPr>
          <w:p w14:paraId="61CDD3FF" w14:textId="77777777" w:rsidR="00FF58F6" w:rsidRDefault="00FF58F6" w:rsidP="002837FC">
            <w:pPr>
              <w:pStyle w:val="TableParagraph"/>
              <w:tabs>
                <w:tab w:val="left" w:pos="6660"/>
              </w:tabs>
              <w:ind w:left="99" w:right="119"/>
              <w:rPr>
                <w:rFonts w:ascii="Times New Roman" w:eastAsia="Times New Roman" w:hAnsi="Times New Roman" w:cs="Times New Roman"/>
                <w:sz w:val="24"/>
                <w:szCs w:val="24"/>
              </w:rPr>
            </w:pPr>
            <w:r>
              <w:rPr>
                <w:rFonts w:ascii="Times New Roman"/>
                <w:sz w:val="24"/>
              </w:rPr>
              <w:t>Prohibited</w:t>
            </w:r>
          </w:p>
        </w:tc>
        <w:tc>
          <w:tcPr>
            <w:tcW w:w="2790" w:type="dxa"/>
            <w:tcBorders>
              <w:top w:val="single" w:sz="7" w:space="0" w:color="000000"/>
              <w:left w:val="single" w:sz="7" w:space="0" w:color="000000"/>
              <w:bottom w:val="single" w:sz="7" w:space="0" w:color="000000"/>
              <w:right w:val="single" w:sz="7" w:space="0" w:color="000000"/>
            </w:tcBorders>
          </w:tcPr>
          <w:p w14:paraId="304AC710" w14:textId="77777777" w:rsidR="00FF58F6" w:rsidRDefault="00FF58F6" w:rsidP="002837FC">
            <w:pPr>
              <w:pStyle w:val="TableParagraph"/>
              <w:tabs>
                <w:tab w:val="left" w:pos="6660"/>
              </w:tabs>
              <w:ind w:left="99"/>
              <w:rPr>
                <w:rFonts w:ascii="Times New Roman" w:eastAsia="Times New Roman" w:hAnsi="Times New Roman" w:cs="Times New Roman"/>
                <w:sz w:val="24"/>
                <w:szCs w:val="24"/>
              </w:rPr>
            </w:pPr>
            <w:r>
              <w:rPr>
                <w:rFonts w:ascii="Times New Roman"/>
                <w:sz w:val="24"/>
              </w:rPr>
              <w:t>Aquaculture seed production only</w:t>
            </w:r>
          </w:p>
        </w:tc>
        <w:tc>
          <w:tcPr>
            <w:tcW w:w="2160" w:type="dxa"/>
            <w:tcBorders>
              <w:top w:val="single" w:sz="7" w:space="0" w:color="000000"/>
              <w:left w:val="single" w:sz="7" w:space="0" w:color="000000"/>
              <w:bottom w:val="single" w:sz="7" w:space="0" w:color="000000"/>
              <w:right w:val="single" w:sz="7" w:space="0" w:color="000000"/>
            </w:tcBorders>
          </w:tcPr>
          <w:p w14:paraId="3FC37A18" w14:textId="77777777" w:rsidR="00FF58F6" w:rsidRPr="00C00A4A" w:rsidRDefault="00FF58F6" w:rsidP="002837FC">
            <w:pPr>
              <w:pStyle w:val="ListParagraph"/>
              <w:tabs>
                <w:tab w:val="left" w:pos="6660"/>
              </w:tabs>
              <w:ind w:left="720"/>
              <w:rPr>
                <w:rFonts w:ascii="Times New Roman" w:hAnsi="Times New Roman" w:cs="Times New Roman"/>
              </w:rPr>
            </w:pPr>
            <w:r w:rsidRPr="00C00A4A">
              <w:rPr>
                <w:rFonts w:ascii="Times New Roman" w:hAnsi="Times New Roman" w:cs="Times New Roman"/>
              </w:rPr>
              <w:t>&gt;88</w:t>
            </w:r>
          </w:p>
        </w:tc>
        <w:tc>
          <w:tcPr>
            <w:tcW w:w="2430" w:type="dxa"/>
            <w:tcBorders>
              <w:top w:val="single" w:sz="7" w:space="0" w:color="000000"/>
              <w:left w:val="single" w:sz="7" w:space="0" w:color="000000"/>
              <w:bottom w:val="single" w:sz="7" w:space="0" w:color="000000"/>
              <w:right w:val="single" w:sz="7" w:space="0" w:color="000000"/>
            </w:tcBorders>
          </w:tcPr>
          <w:p w14:paraId="492FB6EC" w14:textId="77777777" w:rsidR="00FF58F6" w:rsidRPr="00C00A4A" w:rsidRDefault="00FF58F6" w:rsidP="002837FC">
            <w:pPr>
              <w:tabs>
                <w:tab w:val="left" w:pos="6660"/>
              </w:tabs>
              <w:rPr>
                <w:rFonts w:ascii="Times New Roman" w:hAnsi="Times New Roman" w:cs="Times New Roman"/>
              </w:rPr>
            </w:pPr>
            <w:r w:rsidRPr="00C00A4A">
              <w:rPr>
                <w:rFonts w:ascii="Times New Roman" w:hAnsi="Times New Roman" w:cs="Times New Roman"/>
              </w:rPr>
              <w:t>&gt;163</w:t>
            </w:r>
          </w:p>
        </w:tc>
      </w:tr>
    </w:tbl>
    <w:p w14:paraId="1C152C0E" w14:textId="77777777" w:rsidR="00C2115A" w:rsidRDefault="00C2115A"/>
    <w:sectPr w:rsidR="00C2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F6"/>
    <w:rsid w:val="007F15EB"/>
    <w:rsid w:val="00C2115A"/>
    <w:rsid w:val="00FF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A370"/>
  <w15:chartTrackingRefBased/>
  <w15:docId w15:val="{2A9EE687-FF57-49BC-BA86-B319E96B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F58F6"/>
    <w:pPr>
      <w:widowControl w:val="0"/>
      <w:spacing w:after="0" w:line="240" w:lineRule="auto"/>
    </w:pPr>
  </w:style>
  <w:style w:type="paragraph" w:styleId="Heading3">
    <w:name w:val="heading 3"/>
    <w:basedOn w:val="Normal"/>
    <w:link w:val="Heading3Char"/>
    <w:uiPriority w:val="1"/>
    <w:qFormat/>
    <w:rsid w:val="00FF58F6"/>
    <w:pPr>
      <w:ind w:left="1540" w:hanging="144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F58F6"/>
    <w:rPr>
      <w:rFonts w:ascii="Times New Roman" w:eastAsia="Times New Roman" w:hAnsi="Times New Roman"/>
      <w:b/>
      <w:bCs/>
      <w:sz w:val="24"/>
      <w:szCs w:val="24"/>
    </w:rPr>
  </w:style>
  <w:style w:type="paragraph" w:styleId="BodyText">
    <w:name w:val="Body Text"/>
    <w:basedOn w:val="Normal"/>
    <w:link w:val="BodyTextChar"/>
    <w:uiPriority w:val="1"/>
    <w:qFormat/>
    <w:rsid w:val="00FF58F6"/>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F58F6"/>
    <w:rPr>
      <w:rFonts w:ascii="Times New Roman" w:eastAsia="Times New Roman" w:hAnsi="Times New Roman"/>
      <w:sz w:val="24"/>
      <w:szCs w:val="24"/>
    </w:rPr>
  </w:style>
  <w:style w:type="paragraph" w:styleId="ListParagraph">
    <w:name w:val="List Paragraph"/>
    <w:basedOn w:val="Normal"/>
    <w:uiPriority w:val="34"/>
    <w:qFormat/>
    <w:rsid w:val="00FF58F6"/>
  </w:style>
  <w:style w:type="paragraph" w:customStyle="1" w:styleId="TableParagraph">
    <w:name w:val="Table Paragraph"/>
    <w:basedOn w:val="Normal"/>
    <w:uiPriority w:val="1"/>
    <w:qFormat/>
    <w:rsid w:val="00FF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858D5EF90FFC45862979C350272D82" ma:contentTypeVersion="10" ma:contentTypeDescription="Create a new document." ma:contentTypeScope="" ma:versionID="89028a1396e912e5db90d73d88a5544f">
  <xsd:schema xmlns:xsd="http://www.w3.org/2001/XMLSchema" xmlns:xs="http://www.w3.org/2001/XMLSchema" xmlns:p="http://schemas.microsoft.com/office/2006/metadata/properties" xmlns:ns1="http://schemas.microsoft.com/sharepoint/v3" xmlns:ns3="17b1876a-2c2d-4541-949d-5be3ac939f1f" targetNamespace="http://schemas.microsoft.com/office/2006/metadata/properties" ma:root="true" ma:fieldsID="fdf6287dcd51c4f92491137eac559968" ns1:_="" ns3:_="">
    <xsd:import namespace="http://schemas.microsoft.com/sharepoint/v3"/>
    <xsd:import namespace="17b1876a-2c2d-4541-949d-5be3ac939f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1876a-2c2d-4541-949d-5be3ac939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9CA34-AB56-4673-8DC5-D8338E3DBD6A}">
  <ds:schemaRefs>
    <ds:schemaRef ds:uri="17b1876a-2c2d-4541-949d-5be3ac939f1f"/>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sharepoint/v3"/>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71C7551-639B-4030-8359-F11005278FCE}">
  <ds:schemaRefs>
    <ds:schemaRef ds:uri="http://schemas.microsoft.com/sharepoint/v3/contenttype/forms"/>
  </ds:schemaRefs>
</ds:datastoreItem>
</file>

<file path=customXml/itemProps3.xml><?xml version="1.0" encoding="utf-8"?>
<ds:datastoreItem xmlns:ds="http://schemas.openxmlformats.org/officeDocument/2006/customXml" ds:itemID="{C4280318-3BA4-4E7C-89DD-C8E7DD77D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b1876a-2c2d-4541-949d-5be3ac939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3289</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Bryant J</dc:creator>
  <cp:keywords/>
  <dc:description/>
  <cp:lastModifiedBy>Wahle, Benjamin</cp:lastModifiedBy>
  <cp:revision>2</cp:revision>
  <dcterms:created xsi:type="dcterms:W3CDTF">2019-12-06T16:22:00Z</dcterms:created>
  <dcterms:modified xsi:type="dcterms:W3CDTF">2019-12-06T16:22:00Z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0x0101004A858D5EF90FFC45862979C350272D82</vt:lpwstr>
  </property>
</Properties>
</file>