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4"/>
        </w:rPr>
        <w:t>ALC, Inc.</w:t>
      </w:r>
      <w:r>
        <w:rPr>
          <w:color w:val="595959"/>
        </w:rPr>
        <w:t xml:space="preserve">  |  AI • Knowledge Graphs • Enterprise Data</w:t>
      </w:r>
    </w:p>
    <w:p>
      <w:pPr>
        <w:pStyle w:val="Heading1"/>
      </w:pPr>
      <w:r>
        <w:t>Knowledge Graph Conformance Report</w:t>
      </w:r>
    </w:p>
    <w:p>
      <w:r>
        <w:rPr>
          <w:color w:val="595959"/>
          <w:sz w:val="20"/>
        </w:rPr>
        <w:t>Prepared for GoalC.ai — The Grounding Layer Concept Graph  |  File: graph.jsonld  |  Date: September 24, 2026</w:t>
      </w:r>
    </w:p>
    <w:p>
      <w:pPr>
        <w:pStyle w:val="Heading2"/>
      </w:pPr>
      <w:r>
        <w:t>The Result</w:t>
      </w:r>
    </w:p>
    <w:p>
      <w:r>
        <w:rPr>
          <w:b/>
          <w:color w:val="2E7D32"/>
          <w:sz w:val="26"/>
        </w:rPr>
        <w:t>PASS — the graph conforms. Zero violations.</w:t>
      </w:r>
    </w:p>
    <w:p>
      <w:r>
        <w:t>We tested every node in the graph against a formal set of rules. These rules use SHACL, the W3C standard for checking graph data. Think of it as a quality inspection that a machine can repeat any time the data changes.</w:t>
      </w:r>
    </w:p>
    <w:p>
      <w:pPr>
        <w:pStyle w:val="Heading2"/>
      </w:pPr>
      <w:r>
        <w:t>What We Checked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44"/>
        <w:gridCol w:w="5616"/>
      </w:tblGrid>
      <w:tr>
        <w:tc>
          <w:tcPr>
            <w:tcW w:type="dxa" w:w="4320"/>
          </w:tcPr>
          <w:p>
            <w:r>
              <w:rPr>
                <w:b/>
              </w:rPr>
              <w:t>Facts in the graph (triples)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Nodes checked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Node types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Rule sets (shapes)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Individual rules (constraints)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Where the rules came from</w:t>
            </w:r>
          </w:p>
        </w:tc>
        <w:tc>
          <w:tcPr>
            <w:tcW w:type="dxa" w:w="4320"/>
          </w:tcPr>
          <w:p>
            <w:r>
              <w:t>supplied shapes file (shapes.ttl)</w:t>
            </w:r>
          </w:p>
        </w:tc>
      </w:tr>
    </w:tbl>
    <w:p>
      <w:pPr>
        <w:pStyle w:val="Heading2"/>
      </w:pPr>
      <w:r>
        <w:t>Nodes by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44"/>
        <w:gridCol w:w="5616"/>
      </w:tblGrid>
      <w:tr>
        <w:tc>
          <w:tcPr>
            <w:tcW w:type="dxa" w:w="432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DefinedTerm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ConceptScheme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What This Means</w:t>
      </w:r>
    </w:p>
    <w:p>
      <w:r>
        <w:t>The graph is complete and consistent by its own rules. Every required field is present. Every coded value is on the approved list. Every number is in range. Anyone with a standard SHACL tool can repeat this check and get the same answer. That is independent, machine-verifiable proof of quality.</w:t>
      </w:r>
    </w:p>
    <w:p>
      <w:pPr>
        <w:pStyle w:val="Heading2"/>
      </w:pPr>
      <w:r>
        <w:t>Deliverables in This Package</w:t>
      </w:r>
    </w:p>
    <w:p>
      <w:pPr>
        <w:pStyle w:val="ListBullet"/>
      </w:pPr>
      <w:r>
        <w:t>shapes.ttl — the rulebook, in the W3C SHACL standard.</w:t>
      </w:r>
    </w:p>
    <w:p>
      <w:pPr>
        <w:pStyle w:val="ListBullet"/>
      </w:pPr>
      <w:r>
        <w:t>results.json — the machine-readable inspection results.</w:t>
      </w:r>
    </w:p>
    <w:p>
      <w:pPr>
        <w:pStyle w:val="ListBullet"/>
      </w:pPr>
      <w:r>
        <w:t>This report — the plain-language summary.</w:t>
      </w:r>
    </w:p>
    <w:p>
      <w:r>
        <w:rPr>
          <w:i/>
        </w:rPr>
        <w:t>What part of the graph would you like us to verify next?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