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D0F4" w14:textId="71A0DDD4" w:rsidR="00EA40B2" w:rsidRPr="00B33834" w:rsidRDefault="00161468" w:rsidP="00161468">
      <w:pPr>
        <w:pStyle w:val="BodyTextIndent3"/>
        <w:ind w:left="0" w:firstLine="0"/>
        <w:jc w:val="center"/>
        <w:rPr>
          <w:u w:val="single"/>
        </w:rPr>
      </w:pPr>
      <w:r w:rsidRPr="00B33834">
        <w:rPr>
          <w:u w:val="single"/>
        </w:rPr>
        <w:t>COTC</w:t>
      </w:r>
      <w:r w:rsidR="002D690A" w:rsidRPr="00B33834">
        <w:rPr>
          <w:u w:val="single"/>
        </w:rPr>
        <w:t>02</w:t>
      </w:r>
      <w:r w:rsidR="008041AE">
        <w:rPr>
          <w:u w:val="single"/>
        </w:rPr>
        <w:t>1</w:t>
      </w:r>
      <w:r w:rsidRPr="00B33834">
        <w:rPr>
          <w:u w:val="single"/>
        </w:rPr>
        <w:t xml:space="preserve">:  Evaluation of Orally Administered mTOR inhibitor </w:t>
      </w:r>
      <w:r w:rsidRPr="00B33834" w:rsidDel="00A65BC8">
        <w:rPr>
          <w:u w:val="single"/>
        </w:rPr>
        <w:t>R</w:t>
      </w:r>
      <w:r w:rsidRPr="00B33834">
        <w:rPr>
          <w:u w:val="single"/>
        </w:rPr>
        <w:t xml:space="preserve">apamycin in </w:t>
      </w:r>
      <w:r w:rsidR="00B33834" w:rsidRPr="00B33834">
        <w:rPr>
          <w:u w:val="single"/>
        </w:rPr>
        <w:t xml:space="preserve">Dogs </w:t>
      </w:r>
      <w:r w:rsidR="008041AE">
        <w:rPr>
          <w:u w:val="single"/>
        </w:rPr>
        <w:t xml:space="preserve">in the Adjuvant Setting </w:t>
      </w:r>
      <w:r w:rsidR="00B33834" w:rsidRPr="00B33834">
        <w:rPr>
          <w:u w:val="single"/>
        </w:rPr>
        <w:t>with Osteosarcoma</w:t>
      </w:r>
    </w:p>
    <w:p w14:paraId="61A957C9" w14:textId="77777777" w:rsidR="00161468" w:rsidRPr="00B33834" w:rsidRDefault="00161468" w:rsidP="00AC55FA">
      <w:pPr>
        <w:pStyle w:val="BodyTextIndent3"/>
        <w:ind w:left="0" w:firstLine="0"/>
        <w:jc w:val="center"/>
      </w:pPr>
    </w:p>
    <w:p w14:paraId="3899A70A" w14:textId="42ECEF5F" w:rsidR="005A4F3F" w:rsidRPr="00B33834" w:rsidRDefault="00161468" w:rsidP="00161468">
      <w:pPr>
        <w:tabs>
          <w:tab w:val="left" w:pos="1710"/>
        </w:tabs>
        <w:ind w:right="-720"/>
        <w:jc w:val="both"/>
        <w:rPr>
          <w:b/>
        </w:rPr>
      </w:pPr>
      <w:r w:rsidRPr="00B33834">
        <w:rPr>
          <w:b/>
        </w:rPr>
        <w:t xml:space="preserve">Date: </w:t>
      </w:r>
      <w:r w:rsidR="00825AA0">
        <w:rPr>
          <w:b/>
        </w:rPr>
        <w:t>March 13, 2017</w:t>
      </w:r>
    </w:p>
    <w:p w14:paraId="79AA0F7C" w14:textId="77777777" w:rsidR="00A6596F" w:rsidRPr="00B33834" w:rsidRDefault="00A6596F" w:rsidP="00161468">
      <w:pPr>
        <w:tabs>
          <w:tab w:val="left" w:pos="1710"/>
        </w:tabs>
        <w:ind w:right="-720"/>
        <w:jc w:val="both"/>
        <w:rPr>
          <w:b/>
        </w:rPr>
      </w:pPr>
    </w:p>
    <w:p w14:paraId="0C20F49F" w14:textId="4883991C" w:rsidR="007D7F5D" w:rsidRPr="00B33834" w:rsidRDefault="00161468" w:rsidP="007D7F5D">
      <w:pPr>
        <w:tabs>
          <w:tab w:val="left" w:pos="1710"/>
        </w:tabs>
        <w:ind w:right="-720"/>
        <w:jc w:val="both"/>
        <w:rPr>
          <w:b/>
        </w:rPr>
      </w:pPr>
      <w:r w:rsidRPr="00B33834">
        <w:rPr>
          <w:b/>
        </w:rPr>
        <w:t>Principal Investigator</w:t>
      </w:r>
      <w:r w:rsidR="00B5031B">
        <w:rPr>
          <w:b/>
        </w:rPr>
        <w:t>s</w:t>
      </w:r>
      <w:r w:rsidRPr="00B33834">
        <w:rPr>
          <w:b/>
        </w:rPr>
        <w:t>:</w:t>
      </w:r>
      <w:r w:rsidRPr="00B33834">
        <w:rPr>
          <w:b/>
        </w:rPr>
        <w:tab/>
      </w:r>
    </w:p>
    <w:p w14:paraId="4A8DC7A4" w14:textId="0DB253A5" w:rsidR="007D7F5D" w:rsidRPr="00B33834" w:rsidRDefault="007D7F5D" w:rsidP="007D7F5D">
      <w:pPr>
        <w:tabs>
          <w:tab w:val="left" w:pos="1710"/>
          <w:tab w:val="left" w:pos="2160"/>
          <w:tab w:val="left" w:pos="2880"/>
          <w:tab w:val="left" w:pos="3600"/>
          <w:tab w:val="left" w:pos="4320"/>
          <w:tab w:val="left" w:pos="5040"/>
          <w:tab w:val="left" w:pos="10830"/>
        </w:tabs>
        <w:ind w:right="-720"/>
        <w:jc w:val="both"/>
        <w:rPr>
          <w:b/>
        </w:rPr>
      </w:pPr>
      <w:r w:rsidRPr="00B33834">
        <w:rPr>
          <w:b/>
        </w:rPr>
        <w:tab/>
        <w:t>Tim</w:t>
      </w:r>
      <w:r w:rsidR="00FD1F90" w:rsidRPr="00B33834">
        <w:rPr>
          <w:b/>
        </w:rPr>
        <w:t>othy M.</w:t>
      </w:r>
      <w:r w:rsidRPr="00B33834">
        <w:rPr>
          <w:b/>
        </w:rPr>
        <w:t xml:space="preserve"> Fan, DVM, PhD</w:t>
      </w:r>
      <w:r w:rsidR="00FD1F90" w:rsidRPr="00B33834">
        <w:rPr>
          <w:b/>
        </w:rPr>
        <w:tab/>
      </w:r>
      <w:r w:rsidRPr="00B33834">
        <w:rPr>
          <w:b/>
        </w:rPr>
        <w:t>University of Illinois</w:t>
      </w:r>
    </w:p>
    <w:p w14:paraId="3C30B99E" w14:textId="11C16D7D" w:rsidR="007D7F5D" w:rsidRPr="00B33834" w:rsidRDefault="007D7F5D" w:rsidP="007D7F5D">
      <w:pPr>
        <w:tabs>
          <w:tab w:val="left" w:pos="1710"/>
        </w:tabs>
        <w:ind w:right="-720"/>
        <w:jc w:val="both"/>
        <w:rPr>
          <w:b/>
        </w:rPr>
      </w:pPr>
      <w:r w:rsidRPr="00B33834">
        <w:rPr>
          <w:b/>
        </w:rPr>
        <w:tab/>
      </w:r>
      <w:r w:rsidR="00416C99">
        <w:rPr>
          <w:b/>
        </w:rPr>
        <w:t xml:space="preserve">Laura </w:t>
      </w:r>
      <w:proofErr w:type="spellStart"/>
      <w:r w:rsidR="00416C99">
        <w:rPr>
          <w:b/>
        </w:rPr>
        <w:t>Selmic</w:t>
      </w:r>
      <w:proofErr w:type="spellEnd"/>
      <w:r w:rsidR="00416C99">
        <w:rPr>
          <w:b/>
        </w:rPr>
        <w:t xml:space="preserve">, </w:t>
      </w:r>
      <w:r w:rsidR="00B5031B">
        <w:rPr>
          <w:b/>
        </w:rPr>
        <w:t>BVetMed, MPH</w:t>
      </w:r>
      <w:r w:rsidR="00826D24">
        <w:rPr>
          <w:b/>
        </w:rPr>
        <w:tab/>
      </w:r>
      <w:r w:rsidR="00416C99" w:rsidRPr="00B33834">
        <w:rPr>
          <w:b/>
        </w:rPr>
        <w:t>University of Illinois</w:t>
      </w:r>
    </w:p>
    <w:p w14:paraId="344DB07A" w14:textId="0D3F91B9" w:rsidR="008D5B14" w:rsidRPr="00B33834" w:rsidRDefault="008D5B14" w:rsidP="007D7F5D">
      <w:pPr>
        <w:tabs>
          <w:tab w:val="left" w:pos="1710"/>
        </w:tabs>
        <w:ind w:right="-720"/>
        <w:jc w:val="both"/>
        <w:rPr>
          <w:b/>
        </w:rPr>
      </w:pPr>
    </w:p>
    <w:p w14:paraId="2377F623" w14:textId="77777777" w:rsidR="008D5B14" w:rsidRPr="00B33834" w:rsidRDefault="008D5B14" w:rsidP="008D5B14">
      <w:pPr>
        <w:tabs>
          <w:tab w:val="left" w:pos="1710"/>
        </w:tabs>
        <w:ind w:right="-720"/>
        <w:jc w:val="both"/>
        <w:rPr>
          <w:b/>
        </w:rPr>
      </w:pPr>
      <w:r w:rsidRPr="00B33834">
        <w:rPr>
          <w:b/>
        </w:rPr>
        <w:t>Study Investigators:</w:t>
      </w:r>
      <w:r w:rsidRPr="00B33834">
        <w:rPr>
          <w:b/>
        </w:rPr>
        <w:tab/>
      </w:r>
    </w:p>
    <w:p w14:paraId="4C2A70EF" w14:textId="77777777" w:rsidR="008D5B14" w:rsidRPr="00B33834" w:rsidRDefault="008D5B14" w:rsidP="008D5B14">
      <w:pPr>
        <w:tabs>
          <w:tab w:val="left" w:pos="1710"/>
          <w:tab w:val="left" w:pos="2160"/>
          <w:tab w:val="left" w:pos="2880"/>
          <w:tab w:val="left" w:pos="3600"/>
          <w:tab w:val="left" w:pos="4320"/>
          <w:tab w:val="left" w:pos="5040"/>
          <w:tab w:val="left" w:pos="10830"/>
        </w:tabs>
        <w:ind w:right="-720"/>
        <w:jc w:val="both"/>
        <w:rPr>
          <w:b/>
        </w:rPr>
      </w:pPr>
      <w:r w:rsidRPr="00B33834">
        <w:rPr>
          <w:b/>
        </w:rPr>
        <w:tab/>
        <w:t>Dan Gustafson</w:t>
      </w:r>
      <w:r w:rsidRPr="00B33834">
        <w:rPr>
          <w:b/>
        </w:rPr>
        <w:tab/>
      </w:r>
      <w:r w:rsidRPr="00B33834">
        <w:rPr>
          <w:b/>
        </w:rPr>
        <w:tab/>
      </w:r>
      <w:r w:rsidRPr="00B33834">
        <w:rPr>
          <w:b/>
        </w:rPr>
        <w:tab/>
        <w:t>Colorado State University</w:t>
      </w:r>
    </w:p>
    <w:p w14:paraId="133B60F6" w14:textId="23CEFA22" w:rsidR="008D5B14" w:rsidRPr="00B33834" w:rsidRDefault="008D5B14" w:rsidP="008D5B14">
      <w:pPr>
        <w:tabs>
          <w:tab w:val="left" w:pos="1710"/>
          <w:tab w:val="left" w:pos="2160"/>
          <w:tab w:val="left" w:pos="2880"/>
          <w:tab w:val="left" w:pos="3600"/>
          <w:tab w:val="left" w:pos="4320"/>
          <w:tab w:val="left" w:pos="5040"/>
          <w:tab w:val="left" w:pos="10830"/>
        </w:tabs>
        <w:ind w:right="-720"/>
        <w:jc w:val="both"/>
        <w:rPr>
          <w:b/>
        </w:rPr>
      </w:pPr>
      <w:r w:rsidRPr="00B33834">
        <w:rPr>
          <w:b/>
        </w:rPr>
        <w:tab/>
        <w:t>Amy K. LeBlanc, DVM</w:t>
      </w:r>
      <w:r w:rsidRPr="00B33834">
        <w:rPr>
          <w:b/>
        </w:rPr>
        <w:tab/>
      </w:r>
      <w:r w:rsidRPr="00B33834">
        <w:rPr>
          <w:b/>
        </w:rPr>
        <w:tab/>
        <w:t>COP/CCR/NCI</w:t>
      </w:r>
    </w:p>
    <w:p w14:paraId="68037290" w14:textId="74EB168A" w:rsidR="008D5B14" w:rsidRPr="00B33834" w:rsidRDefault="008D5B14" w:rsidP="00AC55FA">
      <w:pPr>
        <w:tabs>
          <w:tab w:val="left" w:pos="1710"/>
          <w:tab w:val="left" w:pos="2160"/>
          <w:tab w:val="left" w:pos="2880"/>
          <w:tab w:val="left" w:pos="3600"/>
          <w:tab w:val="left" w:pos="4320"/>
          <w:tab w:val="left" w:pos="5040"/>
          <w:tab w:val="left" w:pos="10830"/>
        </w:tabs>
        <w:ind w:right="-720"/>
        <w:jc w:val="both"/>
        <w:rPr>
          <w:b/>
        </w:rPr>
      </w:pPr>
      <w:r w:rsidRPr="00B33834">
        <w:rPr>
          <w:b/>
        </w:rPr>
        <w:tab/>
      </w:r>
    </w:p>
    <w:p w14:paraId="5C5321F4" w14:textId="77777777" w:rsidR="007D7F5D" w:rsidRPr="00B33834" w:rsidRDefault="007D7F5D" w:rsidP="007D7F5D">
      <w:pPr>
        <w:tabs>
          <w:tab w:val="left" w:pos="1710"/>
          <w:tab w:val="left" w:pos="2160"/>
          <w:tab w:val="left" w:pos="2880"/>
          <w:tab w:val="left" w:pos="3600"/>
          <w:tab w:val="left" w:pos="4320"/>
          <w:tab w:val="left" w:pos="5040"/>
          <w:tab w:val="left" w:pos="10830"/>
        </w:tabs>
        <w:ind w:right="-720"/>
        <w:jc w:val="both"/>
        <w:rPr>
          <w:b/>
        </w:rPr>
      </w:pPr>
      <w:r w:rsidRPr="00B33834">
        <w:rPr>
          <w:b/>
        </w:rPr>
        <w:tab/>
      </w:r>
      <w:r w:rsidRPr="00B33834">
        <w:rPr>
          <w:b/>
        </w:rPr>
        <w:tab/>
      </w:r>
      <w:r w:rsidRPr="00B33834">
        <w:rPr>
          <w:b/>
        </w:rPr>
        <w:tab/>
      </w:r>
    </w:p>
    <w:p w14:paraId="7C4A647B" w14:textId="77777777" w:rsidR="007D7F5D" w:rsidRPr="00B33834" w:rsidRDefault="007D7F5D" w:rsidP="007D7F5D">
      <w:pPr>
        <w:tabs>
          <w:tab w:val="left" w:pos="1710"/>
        </w:tabs>
        <w:ind w:right="-720"/>
        <w:jc w:val="both"/>
        <w:rPr>
          <w:b/>
        </w:rPr>
      </w:pPr>
      <w:r w:rsidRPr="00B33834">
        <w:rPr>
          <w:b/>
        </w:rPr>
        <w:t xml:space="preserve">Study Coordinator: </w:t>
      </w:r>
      <w:r w:rsidRPr="00B33834">
        <w:rPr>
          <w:b/>
        </w:rPr>
        <w:tab/>
      </w:r>
      <w:r w:rsidRPr="00B33834">
        <w:rPr>
          <w:b/>
        </w:rPr>
        <w:tab/>
      </w:r>
    </w:p>
    <w:p w14:paraId="4CFDB087" w14:textId="77777777" w:rsidR="007D7F5D" w:rsidRPr="00B33834" w:rsidRDefault="007D7F5D" w:rsidP="007D7F5D">
      <w:pPr>
        <w:tabs>
          <w:tab w:val="left" w:pos="1710"/>
        </w:tabs>
        <w:ind w:right="-720"/>
        <w:jc w:val="both"/>
        <w:rPr>
          <w:b/>
        </w:rPr>
      </w:pPr>
      <w:r w:rsidRPr="00B33834">
        <w:rPr>
          <w:b/>
        </w:rPr>
        <w:tab/>
        <w:t>Christina Mazcko</w:t>
      </w:r>
      <w:r w:rsidRPr="00B33834">
        <w:rPr>
          <w:b/>
        </w:rPr>
        <w:tab/>
      </w:r>
      <w:r w:rsidRPr="00B33834">
        <w:rPr>
          <w:b/>
        </w:rPr>
        <w:tab/>
      </w:r>
      <w:r w:rsidRPr="00B33834">
        <w:rPr>
          <w:b/>
        </w:rPr>
        <w:tab/>
        <w:t>COP/CCR/NCI</w:t>
      </w:r>
    </w:p>
    <w:p w14:paraId="6EF390A1" w14:textId="77777777" w:rsidR="00161468" w:rsidRPr="00B33834" w:rsidRDefault="00161468" w:rsidP="00161468">
      <w:pPr>
        <w:tabs>
          <w:tab w:val="left" w:pos="1710"/>
        </w:tabs>
        <w:ind w:right="-720"/>
        <w:jc w:val="both"/>
        <w:rPr>
          <w:b/>
          <w:u w:val="single"/>
        </w:rPr>
      </w:pPr>
      <w:r w:rsidRPr="00B33834">
        <w:rPr>
          <w:b/>
        </w:rPr>
        <w:tab/>
      </w:r>
      <w:r w:rsidRPr="00B33834">
        <w:rPr>
          <w:b/>
        </w:rPr>
        <w:tab/>
      </w:r>
    </w:p>
    <w:p w14:paraId="11007424" w14:textId="1A5A1F79" w:rsidR="00EA40B2" w:rsidRPr="00B33834" w:rsidRDefault="00161468" w:rsidP="00161468">
      <w:pPr>
        <w:jc w:val="both"/>
      </w:pPr>
      <w:r w:rsidRPr="00B33834">
        <w:rPr>
          <w:b/>
          <w:u w:val="single"/>
        </w:rPr>
        <w:t>Précis:</w:t>
      </w:r>
      <w:r w:rsidRPr="00B33834">
        <w:rPr>
          <w:b/>
        </w:rPr>
        <w:t xml:space="preserve">  </w:t>
      </w:r>
      <w:r w:rsidRPr="00B33834">
        <w:t xml:space="preserve">Cancer cell progression requires the activation of cellular growth pathways and the inactivation of cellular death pathways.  The protein mTOR occupies a key position in both of these pathways and plays an important role in progression of many cancers. </w:t>
      </w:r>
      <w:r w:rsidR="00412F0C" w:rsidRPr="00B33834">
        <w:t xml:space="preserve">Recent data suggests that inhibition </w:t>
      </w:r>
      <w:r w:rsidRPr="00B33834">
        <w:t xml:space="preserve">of the mTOR pathway may </w:t>
      </w:r>
      <w:r w:rsidR="00412F0C" w:rsidRPr="00B33834">
        <w:t xml:space="preserve">have </w:t>
      </w:r>
      <w:r w:rsidR="006A6761" w:rsidRPr="00B33834">
        <w:t xml:space="preserve">additional </w:t>
      </w:r>
      <w:r w:rsidR="00412F0C" w:rsidRPr="00B33834">
        <w:t>effects in targeting metastatic progression by altering the ability of highly metastatic cancer cells to endure and survive the stresses of metastasis</w:t>
      </w:r>
      <w:r w:rsidR="00043349">
        <w:t xml:space="preserve">. </w:t>
      </w:r>
      <w:r w:rsidR="00412F0C" w:rsidRPr="00B33834">
        <w:t>Accordingly, targeting the metastatic phenotype</w:t>
      </w:r>
      <w:r w:rsidR="006A6761" w:rsidRPr="00B33834">
        <w:t xml:space="preserve"> of cancers</w:t>
      </w:r>
      <w:r w:rsidR="00412F0C" w:rsidRPr="00B33834">
        <w:t xml:space="preserve"> through mTOR inhibition may meet a currently unmet need for </w:t>
      </w:r>
      <w:r w:rsidR="007D5D00" w:rsidRPr="00B33834">
        <w:t>patients at risk for metastatic progression.</w:t>
      </w:r>
      <w:r w:rsidR="00412F0C" w:rsidRPr="00B33834">
        <w:t xml:space="preserve"> </w:t>
      </w:r>
    </w:p>
    <w:p w14:paraId="147C76E8" w14:textId="77777777" w:rsidR="008041AE" w:rsidRDefault="00161468" w:rsidP="00AC55FA">
      <w:pPr>
        <w:ind w:firstLine="720"/>
        <w:jc w:val="both"/>
      </w:pPr>
      <w:r w:rsidRPr="00B33834">
        <w:t xml:space="preserve">In a </w:t>
      </w:r>
      <w:r w:rsidR="0072399A" w:rsidRPr="00B33834">
        <w:t>previously</w:t>
      </w:r>
      <w:r w:rsidRPr="00B33834">
        <w:t xml:space="preserve"> completed canine osteosarcoma dose escalation study (COTC003), the mTOR inhibitor, rapamycin,</w:t>
      </w:r>
      <w:r w:rsidRPr="00B33834" w:rsidDel="00AE6E79">
        <w:t xml:space="preserve"> was safely administered as a parenteral formulation at doses ranging from</w:t>
      </w:r>
      <w:r w:rsidRPr="00B33834">
        <w:t xml:space="preserve"> 0.01 mg/kg to 0.08 mg/kg. Pharmacokinetic exposures achieved in these dogs were translatable to those seen in human patients and resulted in effective tumoral and surrogate PBMC modulation of pS6RP, a proximate target of the mTOR pathway. A follow-up study (COTC008) administering this parenteral formulation subcutaneously or intramuscularly for longer durations resulted in granuloma formation in dogs.  Furthermore, the stability of this formulation was found to be limited. </w:t>
      </w:r>
      <w:r w:rsidR="006A6761" w:rsidRPr="00B33834">
        <w:t>Nonetheless, th</w:t>
      </w:r>
      <w:r w:rsidRPr="00B33834">
        <w:t>ese data suggest</w:t>
      </w:r>
      <w:r w:rsidR="00EA40B2" w:rsidRPr="00B33834">
        <w:t>ed</w:t>
      </w:r>
      <w:r w:rsidRPr="00B33834">
        <w:t xml:space="preserve"> that rapamycin may be useful and informative as an mTOR inhibitor in dogs with cancer; and while the parenteral formulation may be useful as a scientific and discovery tool, this formulation is not a reasonable therapeutic agent for pet dogs.  </w:t>
      </w:r>
      <w:r w:rsidR="0072399A" w:rsidRPr="00B33834">
        <w:t xml:space="preserve">A small pilot study (COTC013) administering </w:t>
      </w:r>
      <w:r w:rsidR="003B6ABB" w:rsidRPr="00B33834">
        <w:t xml:space="preserve">a dosage of </w:t>
      </w:r>
      <w:r w:rsidR="0072399A" w:rsidRPr="00B33834">
        <w:t xml:space="preserve">0.08 mg/kg </w:t>
      </w:r>
      <w:r w:rsidR="003B6ABB" w:rsidRPr="00B33834">
        <w:t xml:space="preserve">either orally or intramuscularly demonstrated that </w:t>
      </w:r>
      <w:r w:rsidR="0072399A" w:rsidRPr="00B33834">
        <w:t xml:space="preserve">rapamycin </w:t>
      </w:r>
      <w:r w:rsidR="00EA40B2" w:rsidRPr="00B33834">
        <w:t>had acceptable</w:t>
      </w:r>
      <w:r w:rsidR="0072399A" w:rsidRPr="00B33834">
        <w:t xml:space="preserve"> </w:t>
      </w:r>
      <w:r w:rsidR="007E3997" w:rsidRPr="00B33834">
        <w:t>bioavailab</w:t>
      </w:r>
      <w:r w:rsidR="00EA40B2" w:rsidRPr="00B33834">
        <w:t>ility</w:t>
      </w:r>
      <w:r w:rsidR="007E3997" w:rsidRPr="00B33834">
        <w:t xml:space="preserve"> via the oral route when compared to</w:t>
      </w:r>
      <w:r w:rsidR="0072399A" w:rsidRPr="00B33834">
        <w:t xml:space="preserve"> intrasmusc</w:t>
      </w:r>
      <w:r w:rsidR="00F853B8" w:rsidRPr="00B33834">
        <w:t>u</w:t>
      </w:r>
      <w:r w:rsidR="0072399A" w:rsidRPr="00B33834">
        <w:t xml:space="preserve">lar administration. </w:t>
      </w:r>
      <w:r w:rsidR="006A6761" w:rsidRPr="00B33834">
        <w:t xml:space="preserve">Such oral delivery may allow long-term dosing of dogs and the </w:t>
      </w:r>
      <w:r w:rsidR="00EA40B2" w:rsidRPr="00B33834">
        <w:t xml:space="preserve">future </w:t>
      </w:r>
      <w:r w:rsidR="006A6761" w:rsidRPr="00B33834">
        <w:t>evaluation of oral rapamycin as a means to prevent metastatic progression following resection</w:t>
      </w:r>
      <w:r w:rsidR="00EA40B2" w:rsidRPr="00B33834">
        <w:t xml:space="preserve"> (adjuvant therapy)</w:t>
      </w:r>
      <w:r w:rsidR="006A6761" w:rsidRPr="00B33834">
        <w:t xml:space="preserve"> of the primary tumor in patients with osteosarcoma.  </w:t>
      </w:r>
    </w:p>
    <w:p w14:paraId="03111E8B" w14:textId="3CFC876E" w:rsidR="00E637DD" w:rsidRDefault="008041AE" w:rsidP="00AC55FA">
      <w:pPr>
        <w:ind w:firstLine="720"/>
        <w:jc w:val="both"/>
      </w:pPr>
      <w:r>
        <w:t xml:space="preserve">A </w:t>
      </w:r>
      <w:r w:rsidR="00E637DD">
        <w:t>confirmatory</w:t>
      </w:r>
      <w:r>
        <w:t xml:space="preserve"> PK-</w:t>
      </w:r>
      <w:r w:rsidR="00E637DD">
        <w:t>driven</w:t>
      </w:r>
      <w:r>
        <w:t xml:space="preserve"> validation study of orally-administered rapamycin performed in </w:t>
      </w:r>
      <w:r w:rsidR="00E637DD">
        <w:t xml:space="preserve">tumor-bearing </w:t>
      </w:r>
      <w:r>
        <w:t xml:space="preserve">dogs </w:t>
      </w:r>
      <w:r w:rsidR="00E637DD">
        <w:t>(</w:t>
      </w:r>
      <w:r>
        <w:t>COTC020) demonstrate</w:t>
      </w:r>
      <w:r w:rsidR="009F087F">
        <w:t xml:space="preserve">d translatable pharmacokinetics, utilizing both trough and dose equivalent AUC parameters achieved with daily dosing of 0.1 mg/kg in tumor-bearing dogs. </w:t>
      </w:r>
      <w:r w:rsidR="00AC3C9D">
        <w:t>Based upon observed toxicities in COTC020, a 4-day on/3-day off schedule was simulated based upon 5-day on/2-day off PK data and is the basis for the proposed study.</w:t>
      </w:r>
    </w:p>
    <w:p w14:paraId="5B4BFA4C" w14:textId="77777777" w:rsidR="00E637DD" w:rsidRDefault="00E637DD" w:rsidP="00AC55FA">
      <w:pPr>
        <w:ind w:firstLine="720"/>
        <w:jc w:val="both"/>
      </w:pPr>
    </w:p>
    <w:p w14:paraId="06CFCEDF" w14:textId="77777777" w:rsidR="00E637DD" w:rsidDel="009F087F" w:rsidRDefault="00E637DD" w:rsidP="00AC55FA">
      <w:pPr>
        <w:ind w:firstLine="720"/>
        <w:jc w:val="both"/>
      </w:pPr>
      <w:r>
        <w:rPr>
          <w:noProof/>
        </w:rPr>
        <w:lastRenderedPageBreak/>
        <w:drawing>
          <wp:inline distT="0" distB="0" distL="0" distR="0" wp14:anchorId="740A9F80" wp14:editId="5695E962">
            <wp:extent cx="2613031" cy="26481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479" cy="2648651"/>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4"/>
        <w:gridCol w:w="3384"/>
        <w:gridCol w:w="3384"/>
      </w:tblGrid>
      <w:tr w:rsidR="00E637DD" w:rsidRPr="0065285B" w14:paraId="4AC3E360" w14:textId="77777777" w:rsidTr="00E637DD">
        <w:tc>
          <w:tcPr>
            <w:tcW w:w="10152" w:type="dxa"/>
            <w:gridSpan w:val="3"/>
            <w:tcBorders>
              <w:top w:val="single" w:sz="4" w:space="0" w:color="auto"/>
            </w:tcBorders>
          </w:tcPr>
          <w:p w14:paraId="6D3FFC6D" w14:textId="2679639A" w:rsidR="00E637DD" w:rsidRPr="0065285B" w:rsidRDefault="00E637DD" w:rsidP="00E637DD">
            <w:pPr>
              <w:rPr>
                <w:b/>
              </w:rPr>
            </w:pPr>
            <w:r w:rsidRPr="0065285B">
              <w:rPr>
                <w:b/>
              </w:rPr>
              <w:t xml:space="preserve">Calculated blood pharmacokinetic parameters </w:t>
            </w:r>
            <w:r>
              <w:rPr>
                <w:b/>
              </w:rPr>
              <w:t xml:space="preserve">on day 26 </w:t>
            </w:r>
            <w:r w:rsidRPr="0065285B">
              <w:rPr>
                <w:b/>
              </w:rPr>
              <w:t>for rapamycin following oral dosing in dogs at a dose of 0.</w:t>
            </w:r>
            <w:r>
              <w:rPr>
                <w:b/>
              </w:rPr>
              <w:t>1</w:t>
            </w:r>
            <w:r w:rsidRPr="0065285B">
              <w:rPr>
                <w:b/>
              </w:rPr>
              <w:t xml:space="preserve"> mg/kg</w:t>
            </w:r>
            <w:r>
              <w:rPr>
                <w:b/>
              </w:rPr>
              <w:t xml:space="preserve"> via two dosing scheme</w:t>
            </w:r>
            <w:r w:rsidR="00CF5798">
              <w:rPr>
                <w:b/>
              </w:rPr>
              <w:t>s</w:t>
            </w:r>
          </w:p>
        </w:tc>
      </w:tr>
      <w:tr w:rsidR="00E637DD" w:rsidRPr="0065285B" w14:paraId="5D6ACCCF" w14:textId="77777777" w:rsidTr="00E637DD">
        <w:tc>
          <w:tcPr>
            <w:tcW w:w="3384" w:type="dxa"/>
          </w:tcPr>
          <w:p w14:paraId="57F6A46D" w14:textId="77777777" w:rsidR="00E637DD" w:rsidRPr="0065285B" w:rsidRDefault="00E637DD" w:rsidP="00E637DD">
            <w:pPr>
              <w:jc w:val="center"/>
              <w:rPr>
                <w:b/>
              </w:rPr>
            </w:pPr>
            <w:r w:rsidRPr="0065285B">
              <w:rPr>
                <w:b/>
              </w:rPr>
              <w:t>Pharmacokinetic Parameter</w:t>
            </w:r>
          </w:p>
        </w:tc>
        <w:tc>
          <w:tcPr>
            <w:tcW w:w="3384" w:type="dxa"/>
          </w:tcPr>
          <w:p w14:paraId="2C0EDF89" w14:textId="77777777" w:rsidR="00E637DD" w:rsidRPr="0065285B" w:rsidRDefault="00E637DD" w:rsidP="00E637DD">
            <w:pPr>
              <w:jc w:val="center"/>
              <w:rPr>
                <w:b/>
              </w:rPr>
            </w:pPr>
            <w:r>
              <w:rPr>
                <w:b/>
              </w:rPr>
              <w:t>M, W, F</w:t>
            </w:r>
            <w:r w:rsidRPr="0065285B">
              <w:rPr>
                <w:b/>
              </w:rPr>
              <w:t xml:space="preserve"> Dos</w:t>
            </w:r>
            <w:r>
              <w:rPr>
                <w:b/>
              </w:rPr>
              <w:t>ing</w:t>
            </w:r>
          </w:p>
        </w:tc>
        <w:tc>
          <w:tcPr>
            <w:tcW w:w="3384" w:type="dxa"/>
          </w:tcPr>
          <w:p w14:paraId="51A260DD" w14:textId="77777777" w:rsidR="00E637DD" w:rsidRPr="0065285B" w:rsidRDefault="00E637DD" w:rsidP="00E637DD">
            <w:pPr>
              <w:jc w:val="center"/>
              <w:rPr>
                <w:b/>
              </w:rPr>
            </w:pPr>
            <w:r>
              <w:rPr>
                <w:b/>
              </w:rPr>
              <w:t>M-F Dosing</w:t>
            </w:r>
          </w:p>
        </w:tc>
      </w:tr>
      <w:tr w:rsidR="00E637DD" w:rsidRPr="0065285B" w14:paraId="4A3ECC0C" w14:textId="77777777" w:rsidTr="00E637DD">
        <w:tc>
          <w:tcPr>
            <w:tcW w:w="3384" w:type="dxa"/>
          </w:tcPr>
          <w:p w14:paraId="654008D3" w14:textId="77777777" w:rsidR="00E637DD" w:rsidRPr="0065285B" w:rsidRDefault="00E637DD" w:rsidP="00E637DD">
            <w:r w:rsidRPr="0065285B">
              <w:t>AUC</w:t>
            </w:r>
            <w:r w:rsidRPr="0065285B">
              <w:rPr>
                <w:vertAlign w:val="subscript"/>
              </w:rPr>
              <w:t>0-48h</w:t>
            </w:r>
            <w:r w:rsidRPr="0065285B">
              <w:t xml:space="preserve"> (ng x hr x ml</w:t>
            </w:r>
            <w:r w:rsidRPr="0065285B">
              <w:rPr>
                <w:vertAlign w:val="superscript"/>
              </w:rPr>
              <w:t>-1</w:t>
            </w:r>
            <w:r w:rsidRPr="0065285B">
              <w:t>)</w:t>
            </w:r>
          </w:p>
        </w:tc>
        <w:tc>
          <w:tcPr>
            <w:tcW w:w="3384" w:type="dxa"/>
          </w:tcPr>
          <w:p w14:paraId="649F6882" w14:textId="77777777" w:rsidR="00E637DD" w:rsidRPr="0065285B" w:rsidRDefault="00E637DD" w:rsidP="00E637DD">
            <w:pPr>
              <w:jc w:val="center"/>
            </w:pPr>
            <w:r>
              <w:t>90.6</w:t>
            </w:r>
            <w:r w:rsidRPr="0065285B">
              <w:t xml:space="preserve"> </w:t>
            </w:r>
            <w:r w:rsidRPr="0065285B">
              <w:sym w:font="Symbol" w:char="F0B1"/>
            </w:r>
            <w:r w:rsidRPr="0065285B">
              <w:t xml:space="preserve"> </w:t>
            </w:r>
            <w:r>
              <w:t>31</w:t>
            </w:r>
            <w:r w:rsidRPr="0065285B">
              <w:t>.</w:t>
            </w:r>
            <w:r>
              <w:t>0</w:t>
            </w:r>
          </w:p>
          <w:p w14:paraId="5279259B" w14:textId="77777777" w:rsidR="00E637DD" w:rsidRPr="0065285B" w:rsidRDefault="00E637DD" w:rsidP="00E637DD">
            <w:pPr>
              <w:jc w:val="center"/>
            </w:pPr>
            <w:r w:rsidRPr="0065285B">
              <w:t>(</w:t>
            </w:r>
            <w:r>
              <w:t>55.4, 102.4, 113.9</w:t>
            </w:r>
            <w:r w:rsidRPr="0065285B">
              <w:t>)</w:t>
            </w:r>
          </w:p>
        </w:tc>
        <w:tc>
          <w:tcPr>
            <w:tcW w:w="3384" w:type="dxa"/>
          </w:tcPr>
          <w:p w14:paraId="0CA4981C" w14:textId="77777777" w:rsidR="00E637DD" w:rsidRPr="0065285B" w:rsidRDefault="00E637DD" w:rsidP="00E637DD">
            <w:pPr>
              <w:jc w:val="center"/>
            </w:pPr>
            <w:r>
              <w:t>436.7</w:t>
            </w:r>
            <w:r w:rsidRPr="0065285B">
              <w:t xml:space="preserve"> </w:t>
            </w:r>
            <w:r w:rsidRPr="0065285B">
              <w:sym w:font="Symbol" w:char="F0B1"/>
            </w:r>
            <w:r w:rsidRPr="0065285B">
              <w:t xml:space="preserve"> </w:t>
            </w:r>
            <w:r>
              <w:t>225</w:t>
            </w:r>
            <w:r w:rsidRPr="0065285B">
              <w:t>.</w:t>
            </w:r>
            <w:r>
              <w:t>1</w:t>
            </w:r>
          </w:p>
          <w:p w14:paraId="216C13C2" w14:textId="77777777" w:rsidR="00E637DD" w:rsidRPr="0065285B" w:rsidRDefault="00E637DD" w:rsidP="00E637DD">
            <w:pPr>
              <w:jc w:val="center"/>
            </w:pPr>
            <w:r>
              <w:t>(177.5, 549.6, 583</w:t>
            </w:r>
            <w:r w:rsidRPr="0065285B">
              <w:t>)</w:t>
            </w:r>
          </w:p>
        </w:tc>
      </w:tr>
      <w:tr w:rsidR="00E637DD" w:rsidRPr="0065285B" w14:paraId="18261611" w14:textId="77777777" w:rsidTr="00E637DD">
        <w:tc>
          <w:tcPr>
            <w:tcW w:w="3384" w:type="dxa"/>
          </w:tcPr>
          <w:p w14:paraId="6626C8A4" w14:textId="77777777" w:rsidR="00E637DD" w:rsidRPr="0065285B" w:rsidRDefault="00E637DD" w:rsidP="00E637DD">
            <w:r w:rsidRPr="0065285B">
              <w:t>C</w:t>
            </w:r>
            <w:r w:rsidRPr="0065285B">
              <w:rPr>
                <w:vertAlign w:val="subscript"/>
              </w:rPr>
              <w:t>max</w:t>
            </w:r>
            <w:r w:rsidRPr="0065285B">
              <w:t xml:space="preserve"> (ng/ml)</w:t>
            </w:r>
          </w:p>
        </w:tc>
        <w:tc>
          <w:tcPr>
            <w:tcW w:w="3384" w:type="dxa"/>
          </w:tcPr>
          <w:p w14:paraId="78EC2513" w14:textId="77777777" w:rsidR="00E637DD" w:rsidRPr="0065285B" w:rsidRDefault="00E637DD" w:rsidP="00E637DD">
            <w:pPr>
              <w:jc w:val="center"/>
            </w:pPr>
            <w:r>
              <w:t>6.50</w:t>
            </w:r>
            <w:r w:rsidRPr="0065285B">
              <w:t xml:space="preserve"> </w:t>
            </w:r>
            <w:r w:rsidRPr="0065285B">
              <w:sym w:font="Symbol" w:char="F0B1"/>
            </w:r>
            <w:r w:rsidRPr="0065285B">
              <w:t xml:space="preserve"> </w:t>
            </w:r>
            <w:r>
              <w:t>4.14</w:t>
            </w:r>
          </w:p>
          <w:p w14:paraId="16574084" w14:textId="77777777" w:rsidR="00E637DD" w:rsidRPr="0065285B" w:rsidRDefault="00E637DD" w:rsidP="00E637DD">
            <w:pPr>
              <w:jc w:val="center"/>
            </w:pPr>
            <w:r w:rsidRPr="0065285B">
              <w:t>(</w:t>
            </w:r>
            <w:r>
              <w:t>2.94, 4.53, 6.1, 12.4)</w:t>
            </w:r>
          </w:p>
        </w:tc>
        <w:tc>
          <w:tcPr>
            <w:tcW w:w="3384" w:type="dxa"/>
          </w:tcPr>
          <w:p w14:paraId="2C52D01C" w14:textId="77777777" w:rsidR="00E637DD" w:rsidRPr="0065285B" w:rsidRDefault="00E637DD" w:rsidP="00E637DD">
            <w:pPr>
              <w:jc w:val="center"/>
            </w:pPr>
            <w:r>
              <w:t>16.9</w:t>
            </w:r>
            <w:r w:rsidRPr="0065285B">
              <w:t xml:space="preserve"> </w:t>
            </w:r>
            <w:r w:rsidRPr="0065285B">
              <w:sym w:font="Symbol" w:char="F0B1"/>
            </w:r>
            <w:r w:rsidRPr="0065285B">
              <w:t xml:space="preserve"> </w:t>
            </w:r>
            <w:r>
              <w:t>7.9</w:t>
            </w:r>
          </w:p>
          <w:p w14:paraId="000698F1" w14:textId="77777777" w:rsidR="00E637DD" w:rsidRPr="0065285B" w:rsidRDefault="00E637DD" w:rsidP="00E637DD">
            <w:pPr>
              <w:jc w:val="center"/>
            </w:pPr>
            <w:r w:rsidRPr="0065285B">
              <w:t>(</w:t>
            </w:r>
            <w:r>
              <w:t>9.6, 15.8, 25.2)</w:t>
            </w:r>
          </w:p>
        </w:tc>
      </w:tr>
      <w:tr w:rsidR="00E637DD" w:rsidRPr="0065285B" w14:paraId="380CED55" w14:textId="77777777" w:rsidTr="00E637DD">
        <w:tc>
          <w:tcPr>
            <w:tcW w:w="3384" w:type="dxa"/>
          </w:tcPr>
          <w:p w14:paraId="08294CB8" w14:textId="77777777" w:rsidR="00E637DD" w:rsidRPr="0065285B" w:rsidRDefault="00E637DD" w:rsidP="00E637DD">
            <w:r w:rsidRPr="0065285B">
              <w:t>T</w:t>
            </w:r>
            <w:r w:rsidRPr="0065285B">
              <w:rPr>
                <w:vertAlign w:val="subscript"/>
              </w:rPr>
              <w:t>max</w:t>
            </w:r>
            <w:r w:rsidRPr="00B701DC">
              <w:t xml:space="preserve"> (hr)</w:t>
            </w:r>
          </w:p>
        </w:tc>
        <w:tc>
          <w:tcPr>
            <w:tcW w:w="3384" w:type="dxa"/>
          </w:tcPr>
          <w:p w14:paraId="3370D501" w14:textId="77777777" w:rsidR="00E637DD" w:rsidRPr="0065285B" w:rsidRDefault="00E637DD" w:rsidP="00E637DD">
            <w:pPr>
              <w:jc w:val="center"/>
            </w:pPr>
            <w:r>
              <w:t>2.00</w:t>
            </w:r>
            <w:r w:rsidRPr="0065285B">
              <w:t xml:space="preserve"> </w:t>
            </w:r>
            <w:r w:rsidRPr="0065285B">
              <w:sym w:font="Symbol" w:char="F0B1"/>
            </w:r>
            <w:r>
              <w:t xml:space="preserve"> 1.41</w:t>
            </w:r>
            <w:r w:rsidRPr="0065285B">
              <w:t xml:space="preserve"> </w:t>
            </w:r>
          </w:p>
          <w:p w14:paraId="0AA84474" w14:textId="77777777" w:rsidR="00E637DD" w:rsidRPr="0065285B" w:rsidRDefault="00E637DD" w:rsidP="00E637DD">
            <w:pPr>
              <w:jc w:val="center"/>
            </w:pPr>
            <w:r w:rsidRPr="0065285B">
              <w:t>(</w:t>
            </w:r>
            <w:r>
              <w:t>1, 1, 2, 4)</w:t>
            </w:r>
          </w:p>
        </w:tc>
        <w:tc>
          <w:tcPr>
            <w:tcW w:w="3384" w:type="dxa"/>
          </w:tcPr>
          <w:p w14:paraId="7456C32B" w14:textId="77777777" w:rsidR="00E637DD" w:rsidRPr="0065285B" w:rsidRDefault="00E637DD" w:rsidP="00E637DD">
            <w:pPr>
              <w:jc w:val="center"/>
            </w:pPr>
            <w:r>
              <w:t>3.33</w:t>
            </w:r>
            <w:r w:rsidRPr="0065285B">
              <w:t xml:space="preserve"> </w:t>
            </w:r>
            <w:r w:rsidRPr="0065285B">
              <w:sym w:font="Symbol" w:char="F0B1"/>
            </w:r>
            <w:r w:rsidRPr="0065285B">
              <w:t xml:space="preserve"> </w:t>
            </w:r>
            <w:r>
              <w:t>1.15</w:t>
            </w:r>
          </w:p>
          <w:p w14:paraId="3F8A4F31" w14:textId="77777777" w:rsidR="00E637DD" w:rsidRPr="0065285B" w:rsidRDefault="00E637DD" w:rsidP="00E637DD">
            <w:pPr>
              <w:jc w:val="center"/>
            </w:pPr>
            <w:r w:rsidRPr="0065285B">
              <w:t>(</w:t>
            </w:r>
            <w:r>
              <w:t>2, 4, 4)</w:t>
            </w:r>
          </w:p>
        </w:tc>
      </w:tr>
      <w:tr w:rsidR="00E637DD" w:rsidRPr="0065285B" w14:paraId="5D75AE2D" w14:textId="77777777" w:rsidTr="00E637DD">
        <w:tc>
          <w:tcPr>
            <w:tcW w:w="3384" w:type="dxa"/>
          </w:tcPr>
          <w:p w14:paraId="62F9AA3F" w14:textId="77777777" w:rsidR="00E637DD" w:rsidRPr="0065285B" w:rsidRDefault="00E637DD" w:rsidP="00E637DD">
            <w:r w:rsidRPr="0065285B">
              <w:t>C</w:t>
            </w:r>
            <w:r w:rsidRPr="0065285B">
              <w:rPr>
                <w:vertAlign w:val="subscript"/>
              </w:rPr>
              <w:t>48h</w:t>
            </w:r>
            <w:r w:rsidRPr="0065285B">
              <w:t xml:space="preserve"> (ng/ml)</w:t>
            </w:r>
          </w:p>
        </w:tc>
        <w:tc>
          <w:tcPr>
            <w:tcW w:w="3384" w:type="dxa"/>
          </w:tcPr>
          <w:p w14:paraId="1F0520F5" w14:textId="77777777" w:rsidR="00E637DD" w:rsidRPr="0065285B" w:rsidRDefault="00E637DD" w:rsidP="00E637DD">
            <w:pPr>
              <w:jc w:val="center"/>
            </w:pPr>
            <w:r w:rsidRPr="0065285B">
              <w:t>0.</w:t>
            </w:r>
            <w:r>
              <w:t>78</w:t>
            </w:r>
            <w:r w:rsidRPr="0065285B">
              <w:t xml:space="preserve"> </w:t>
            </w:r>
            <w:r w:rsidRPr="0065285B">
              <w:sym w:font="Symbol" w:char="F0B1"/>
            </w:r>
            <w:r w:rsidRPr="0065285B">
              <w:t xml:space="preserve"> 0.</w:t>
            </w:r>
            <w:r>
              <w:t>57</w:t>
            </w:r>
          </w:p>
          <w:p w14:paraId="22CE2A54" w14:textId="77777777" w:rsidR="00E637DD" w:rsidRPr="0065285B" w:rsidRDefault="00E637DD" w:rsidP="00E637DD">
            <w:pPr>
              <w:jc w:val="center"/>
            </w:pPr>
            <w:r w:rsidRPr="0065285B">
              <w:t>(0</w:t>
            </w:r>
            <w:r>
              <w:t>, 0.704, 1.12, 1.28)</w:t>
            </w:r>
          </w:p>
        </w:tc>
        <w:tc>
          <w:tcPr>
            <w:tcW w:w="3384" w:type="dxa"/>
          </w:tcPr>
          <w:p w14:paraId="5A3A8B64" w14:textId="77777777" w:rsidR="00E637DD" w:rsidRPr="0065285B" w:rsidRDefault="00E637DD" w:rsidP="00E637DD">
            <w:pPr>
              <w:jc w:val="center"/>
            </w:pPr>
            <w:r>
              <w:t>6</w:t>
            </w:r>
            <w:r w:rsidRPr="0065285B">
              <w:t>.</w:t>
            </w:r>
            <w:r>
              <w:t>51</w:t>
            </w:r>
            <w:r w:rsidRPr="0065285B">
              <w:t xml:space="preserve"> </w:t>
            </w:r>
            <w:r w:rsidRPr="0065285B">
              <w:sym w:font="Symbol" w:char="F0B1"/>
            </w:r>
            <w:r w:rsidRPr="0065285B">
              <w:t xml:space="preserve"> </w:t>
            </w:r>
            <w:r>
              <w:t>4</w:t>
            </w:r>
            <w:r w:rsidRPr="0065285B">
              <w:t>.</w:t>
            </w:r>
            <w:r>
              <w:t>05</w:t>
            </w:r>
          </w:p>
          <w:p w14:paraId="130261FC" w14:textId="77777777" w:rsidR="00E637DD" w:rsidRPr="0065285B" w:rsidRDefault="00E637DD" w:rsidP="00E637DD">
            <w:pPr>
              <w:jc w:val="center"/>
            </w:pPr>
            <w:r w:rsidRPr="0065285B">
              <w:t>(</w:t>
            </w:r>
            <w:r>
              <w:t>1.93, 7.95, 9.64)</w:t>
            </w:r>
          </w:p>
        </w:tc>
      </w:tr>
      <w:tr w:rsidR="00E637DD" w:rsidRPr="0065285B" w14:paraId="722D101C" w14:textId="77777777" w:rsidTr="00E637DD">
        <w:tc>
          <w:tcPr>
            <w:tcW w:w="10152" w:type="dxa"/>
            <w:gridSpan w:val="3"/>
          </w:tcPr>
          <w:p w14:paraId="06A7E5F1" w14:textId="77777777" w:rsidR="00E637DD" w:rsidRPr="0065285B" w:rsidRDefault="00E637DD" w:rsidP="00E637DD">
            <w:r w:rsidRPr="0065285B">
              <w:t xml:space="preserve">Values represent mean </w:t>
            </w:r>
            <w:r w:rsidRPr="0065285B">
              <w:sym w:font="Symbol" w:char="F0B1"/>
            </w:r>
            <w:r w:rsidRPr="0065285B">
              <w:t xml:space="preserve"> SD for each parameter.  The value for each </w:t>
            </w:r>
            <w:r>
              <w:t>animal used in calculation i</w:t>
            </w:r>
            <w:r w:rsidRPr="0065285B">
              <w:t>s shown below in parentheses.</w:t>
            </w:r>
          </w:p>
        </w:tc>
      </w:tr>
    </w:tbl>
    <w:p w14:paraId="7F94C9A5" w14:textId="77777777" w:rsidR="001C78FD" w:rsidRDefault="001C78FD" w:rsidP="004B035C">
      <w:pPr>
        <w:ind w:firstLine="720"/>
        <w:jc w:val="both"/>
      </w:pPr>
    </w:p>
    <w:p w14:paraId="0A08BFAC" w14:textId="77777777" w:rsidR="001C78FD" w:rsidRDefault="001C78FD" w:rsidP="004B035C">
      <w:pPr>
        <w:ind w:firstLine="720"/>
        <w:jc w:val="both"/>
      </w:pPr>
    </w:p>
    <w:p w14:paraId="7FD521EE" w14:textId="018A7535" w:rsidR="00161468" w:rsidRPr="00B33834" w:rsidRDefault="008041AE" w:rsidP="004B035C">
      <w:pPr>
        <w:ind w:firstLine="720"/>
        <w:jc w:val="both"/>
      </w:pPr>
      <w:r>
        <w:t xml:space="preserve">Herein we proposed an </w:t>
      </w:r>
      <w:r w:rsidR="00EA40B2" w:rsidRPr="00B33834">
        <w:t>adjuvant therapy study</w:t>
      </w:r>
      <w:r>
        <w:t xml:space="preserve"> in dogs with </w:t>
      </w:r>
      <w:r w:rsidR="00B5031B">
        <w:t xml:space="preserve">osteosarcoma </w:t>
      </w:r>
      <w:r>
        <w:t>which will undergo the Standard of Care (SOC)</w:t>
      </w:r>
      <w:r w:rsidR="004469FD">
        <w:t xml:space="preserve"> followed by adjuvant orally-administered rapamycin</w:t>
      </w:r>
      <w:r>
        <w:t xml:space="preserve">. The dose and schedule in this study are based upon the results of COTC020, and is proposed to demonstrate the anti-metastatic effects of orally-administered rapamycin which is both tolerable and </w:t>
      </w:r>
      <w:r w:rsidR="00EA40B2" w:rsidRPr="00B33834">
        <w:t>approximates the exposures known to modulate mTOR in preclinical models</w:t>
      </w:r>
      <w:r w:rsidR="00BB55D9">
        <w:t>, while achieving</w:t>
      </w:r>
      <w:r w:rsidR="00AC3C9D">
        <w:t xml:space="preserve"> therapeutically relevant PK targets in humans</w:t>
      </w:r>
      <w:r w:rsidR="008D5B14" w:rsidRPr="00B33834">
        <w:t xml:space="preserve">. </w:t>
      </w:r>
      <w:r w:rsidR="00D257F7">
        <w:t>This study will occur contemporaneous to a SOC-only study (COTC022). Dogs will be randomized to either COTC021 or COTC022 at the time of eligibility determination.</w:t>
      </w:r>
      <w:r w:rsidR="00043349">
        <w:t xml:space="preserve"> </w:t>
      </w:r>
      <w:r w:rsidR="00161468" w:rsidRPr="00B33834">
        <w:t>Collectively these data will be integrated within the development consideration of rapamycin and rapalogs for both canine and human pediatric sarcoma patients.</w:t>
      </w:r>
    </w:p>
    <w:p w14:paraId="6E1D9143" w14:textId="77777777" w:rsidR="004E1554" w:rsidRPr="00B33834" w:rsidDel="00772295" w:rsidRDefault="00161468" w:rsidP="004E1554">
      <w:pPr>
        <w:spacing w:line="276" w:lineRule="auto"/>
        <w:jc w:val="both"/>
        <w:rPr>
          <w:b/>
          <w:u w:val="single"/>
        </w:rPr>
      </w:pPr>
      <w:r w:rsidRPr="00B33834">
        <w:rPr>
          <w:b/>
          <w:u w:val="single"/>
        </w:rPr>
        <w:br w:type="page"/>
      </w:r>
      <w:r w:rsidR="004E1554" w:rsidRPr="00B33834">
        <w:rPr>
          <w:b/>
          <w:u w:val="single"/>
        </w:rPr>
        <w:lastRenderedPageBreak/>
        <w:t>Table of Contents:</w:t>
      </w:r>
    </w:p>
    <w:p w14:paraId="7F5A9A51" w14:textId="77777777" w:rsidR="004E1554" w:rsidRPr="00B33834" w:rsidRDefault="004E1554" w:rsidP="004E1554">
      <w:pPr>
        <w:jc w:val="both"/>
      </w:pPr>
      <w:r w:rsidRPr="00B33834">
        <w:t>1.0 Study Objectives</w:t>
      </w:r>
    </w:p>
    <w:p w14:paraId="51DF13AE" w14:textId="77777777" w:rsidR="004E1554" w:rsidRPr="00B33834" w:rsidRDefault="004E1554" w:rsidP="004E1554">
      <w:pPr>
        <w:jc w:val="both"/>
      </w:pPr>
      <w:r w:rsidRPr="00B33834">
        <w:t>2.0 Study Implementation</w:t>
      </w:r>
    </w:p>
    <w:p w14:paraId="7602D698" w14:textId="77777777" w:rsidR="004E1554" w:rsidRPr="00B33834" w:rsidRDefault="004E1554" w:rsidP="004E1554">
      <w:pPr>
        <w:ind w:left="720"/>
        <w:jc w:val="both"/>
      </w:pPr>
      <w:r w:rsidRPr="00B33834">
        <w:t>2.1 Study design</w:t>
      </w:r>
    </w:p>
    <w:p w14:paraId="65EF83FF" w14:textId="77777777" w:rsidR="004E1554" w:rsidRPr="00B33834" w:rsidRDefault="004E1554" w:rsidP="004E1554">
      <w:pPr>
        <w:ind w:left="720"/>
        <w:jc w:val="both"/>
      </w:pPr>
      <w:r w:rsidRPr="00B33834">
        <w:tab/>
        <w:t xml:space="preserve">2.1.1 </w:t>
      </w:r>
      <w:r>
        <w:t>Standard of Care Treatment Regimen</w:t>
      </w:r>
    </w:p>
    <w:p w14:paraId="30A7B45D" w14:textId="77777777" w:rsidR="004E1554" w:rsidRPr="00B33834" w:rsidRDefault="004E1554" w:rsidP="004E1554">
      <w:pPr>
        <w:ind w:left="720" w:firstLine="720"/>
        <w:jc w:val="both"/>
      </w:pPr>
      <w:r w:rsidRPr="00B33834">
        <w:t xml:space="preserve">2.1.2 </w:t>
      </w:r>
      <w:r>
        <w:t>Initiation of Adjuvant Rapamycin Therapy</w:t>
      </w:r>
    </w:p>
    <w:p w14:paraId="2CBF2EC0" w14:textId="77777777" w:rsidR="004E1554" w:rsidRPr="00B33834" w:rsidRDefault="004E1554" w:rsidP="004E1554">
      <w:pPr>
        <w:ind w:left="720"/>
        <w:jc w:val="both"/>
      </w:pPr>
      <w:r w:rsidRPr="00B33834">
        <w:t>2.2 Study patients</w:t>
      </w:r>
    </w:p>
    <w:p w14:paraId="3D7142DC" w14:textId="77777777" w:rsidR="004E1554" w:rsidRPr="00B33834" w:rsidRDefault="004E1554" w:rsidP="004E1554">
      <w:pPr>
        <w:ind w:left="720"/>
        <w:jc w:val="both"/>
      </w:pPr>
      <w:r w:rsidRPr="00B33834">
        <w:tab/>
        <w:t>2.2.1 Baseline Evaluation for Eligibility</w:t>
      </w:r>
    </w:p>
    <w:p w14:paraId="3D1EB3DC" w14:textId="77777777" w:rsidR="004E1554" w:rsidRPr="00B33834" w:rsidRDefault="004E1554" w:rsidP="004E1554">
      <w:pPr>
        <w:ind w:left="720" w:firstLine="720"/>
        <w:jc w:val="both"/>
      </w:pPr>
      <w:r w:rsidRPr="00B33834">
        <w:t>2.2.2 Eligibility Criteria</w:t>
      </w:r>
    </w:p>
    <w:p w14:paraId="5DE6D2C4" w14:textId="77777777" w:rsidR="004E1554" w:rsidRDefault="004E1554" w:rsidP="004E1554">
      <w:pPr>
        <w:ind w:left="720" w:firstLine="720"/>
        <w:jc w:val="both"/>
      </w:pPr>
      <w:r w:rsidRPr="00B33834">
        <w:t>2.2.3 Exclusion Criteria</w:t>
      </w:r>
    </w:p>
    <w:p w14:paraId="7B308CDB" w14:textId="77777777" w:rsidR="004E1554" w:rsidRPr="00B33834" w:rsidRDefault="004E1554" w:rsidP="004E1554">
      <w:pPr>
        <w:jc w:val="both"/>
      </w:pPr>
      <w:r>
        <w:tab/>
      </w:r>
      <w:r>
        <w:tab/>
        <w:t>2.2.4 Patient Registration</w:t>
      </w:r>
    </w:p>
    <w:p w14:paraId="10989DBB" w14:textId="77777777" w:rsidR="004E1554" w:rsidRDefault="004E1554" w:rsidP="004E1554">
      <w:pPr>
        <w:jc w:val="both"/>
      </w:pPr>
      <w:r>
        <w:t>3.0 Patient Procedures for Standard of Care</w:t>
      </w:r>
    </w:p>
    <w:p w14:paraId="49E7BF43" w14:textId="77777777" w:rsidR="004E1554" w:rsidRDefault="004E1554" w:rsidP="004E1554">
      <w:pPr>
        <w:ind w:left="720"/>
        <w:jc w:val="both"/>
      </w:pPr>
      <w:r>
        <w:tab/>
        <w:t>3.1 Study Schedule</w:t>
      </w:r>
    </w:p>
    <w:p w14:paraId="5AA14D3F" w14:textId="77777777" w:rsidR="004E1554" w:rsidRDefault="004E1554" w:rsidP="004E1554">
      <w:pPr>
        <w:ind w:left="720" w:firstLine="720"/>
        <w:jc w:val="both"/>
      </w:pPr>
      <w:r>
        <w:t>3.2 Surgery</w:t>
      </w:r>
    </w:p>
    <w:p w14:paraId="791D56E7" w14:textId="77777777" w:rsidR="004E1554" w:rsidRDefault="004E1554" w:rsidP="004E1554">
      <w:pPr>
        <w:ind w:left="720"/>
        <w:jc w:val="both"/>
      </w:pPr>
      <w:r>
        <w:tab/>
        <w:t>3.3 Biological Collection and Application</w:t>
      </w:r>
    </w:p>
    <w:p w14:paraId="759BE722" w14:textId="77777777" w:rsidR="004E1554" w:rsidRDefault="004E1554" w:rsidP="004E1554">
      <w:pPr>
        <w:ind w:left="720"/>
        <w:jc w:val="both"/>
      </w:pPr>
      <w:r>
        <w:tab/>
        <w:t>3.4</w:t>
      </w:r>
      <w:r w:rsidRPr="00323C0B">
        <w:t xml:space="preserve"> </w:t>
      </w:r>
      <w:r>
        <w:t>Carboplatin Dosing and Administration</w:t>
      </w:r>
    </w:p>
    <w:p w14:paraId="78FEF012" w14:textId="77777777" w:rsidR="004E1554" w:rsidRDefault="004E1554" w:rsidP="004E1554">
      <w:pPr>
        <w:ind w:left="720"/>
        <w:jc w:val="both"/>
      </w:pPr>
      <w:r>
        <w:tab/>
        <w:t>3.5 Patient Monitoring</w:t>
      </w:r>
    </w:p>
    <w:p w14:paraId="674CD1F5" w14:textId="77777777" w:rsidR="004E1554" w:rsidRDefault="004E1554" w:rsidP="004E1554">
      <w:pPr>
        <w:ind w:left="720"/>
        <w:jc w:val="both"/>
      </w:pPr>
      <w:r>
        <w:tab/>
        <w:t>3.6 Carboplatin Dose Modification Guidelines</w:t>
      </w:r>
    </w:p>
    <w:p w14:paraId="091F81BE" w14:textId="77777777" w:rsidR="004E1554" w:rsidRPr="00DC631D" w:rsidRDefault="004E1554" w:rsidP="004E1554">
      <w:pPr>
        <w:ind w:left="720"/>
        <w:jc w:val="both"/>
        <w:rPr>
          <w:rStyle w:val="CommentReference"/>
        </w:rPr>
      </w:pPr>
      <w:r w:rsidRPr="00DC631D">
        <w:tab/>
        <w:t>3.7 Continuation on Study</w:t>
      </w:r>
    </w:p>
    <w:p w14:paraId="18C1126B" w14:textId="3E5D85FD" w:rsidR="004E1554" w:rsidRPr="00470A46" w:rsidRDefault="004E1554" w:rsidP="004E1554">
      <w:pPr>
        <w:jc w:val="both"/>
      </w:pPr>
      <w:r w:rsidRPr="00470A46">
        <w:rPr>
          <w:rStyle w:val="CommentReference"/>
          <w:sz w:val="24"/>
          <w:szCs w:val="24"/>
        </w:rPr>
        <w:t>4.0 P</w:t>
      </w:r>
      <w:r w:rsidRPr="00470A46">
        <w:t xml:space="preserve">atient </w:t>
      </w:r>
      <w:r w:rsidR="00470A46" w:rsidRPr="00470A46">
        <w:t>Procedures</w:t>
      </w:r>
      <w:r w:rsidRPr="00470A46">
        <w:t xml:space="preserve"> for Rapamycin Administration </w:t>
      </w:r>
    </w:p>
    <w:p w14:paraId="41EC55C8" w14:textId="77777777" w:rsidR="004E1554" w:rsidRPr="00DC631D" w:rsidRDefault="004E1554" w:rsidP="004E1554">
      <w:pPr>
        <w:ind w:firstLine="720"/>
        <w:jc w:val="both"/>
      </w:pPr>
      <w:r w:rsidRPr="00DC631D">
        <w:tab/>
        <w:t xml:space="preserve">4.1 Rapamycin Administration </w:t>
      </w:r>
    </w:p>
    <w:p w14:paraId="22A3BB5D" w14:textId="77777777" w:rsidR="004E1554" w:rsidRDefault="004E1554" w:rsidP="004E1554">
      <w:pPr>
        <w:ind w:firstLine="720"/>
        <w:jc w:val="both"/>
      </w:pPr>
      <w:r w:rsidRPr="00DC631D">
        <w:tab/>
        <w:t>4.2 Dosing Regimen</w:t>
      </w:r>
    </w:p>
    <w:p w14:paraId="7E57B33A" w14:textId="77777777" w:rsidR="004E1554" w:rsidRDefault="004E1554" w:rsidP="004E1554">
      <w:pPr>
        <w:ind w:firstLine="720"/>
        <w:jc w:val="both"/>
      </w:pPr>
      <w:r>
        <w:tab/>
        <w:t>4.3 Patient Procedures</w:t>
      </w:r>
      <w:r w:rsidRPr="00DC631D">
        <w:t xml:space="preserve"> </w:t>
      </w:r>
    </w:p>
    <w:p w14:paraId="0583AD1D" w14:textId="41316AAC" w:rsidR="004E1554" w:rsidRPr="00DC631D" w:rsidRDefault="004E1554" w:rsidP="004E1554">
      <w:pPr>
        <w:ind w:firstLine="720"/>
        <w:jc w:val="both"/>
      </w:pPr>
      <w:r>
        <w:tab/>
        <w:t>4.</w:t>
      </w:r>
      <w:r w:rsidR="00203429">
        <w:t>4</w:t>
      </w:r>
      <w:r>
        <w:t xml:space="preserve"> Study Schedule</w:t>
      </w:r>
    </w:p>
    <w:p w14:paraId="0E5D98F1" w14:textId="77777777" w:rsidR="00203429" w:rsidRDefault="00203429" w:rsidP="00203429">
      <w:pPr>
        <w:ind w:left="720"/>
        <w:jc w:val="both"/>
      </w:pPr>
      <w:r>
        <w:tab/>
      </w:r>
      <w:r w:rsidR="004E1554">
        <w:t>4.</w:t>
      </w:r>
      <w:r>
        <w:t>5 Biological Collection and Application</w:t>
      </w:r>
    </w:p>
    <w:p w14:paraId="765D6B34" w14:textId="78E6ADE9" w:rsidR="00203429" w:rsidRDefault="00203429" w:rsidP="004E1554">
      <w:pPr>
        <w:jc w:val="both"/>
      </w:pPr>
      <w:r>
        <w:t>5.0 Clinical Evaluation</w:t>
      </w:r>
    </w:p>
    <w:p w14:paraId="12A5BFEB" w14:textId="296DDA53" w:rsidR="004E1554" w:rsidRDefault="004E1554" w:rsidP="004E1554">
      <w:pPr>
        <w:jc w:val="both"/>
      </w:pPr>
      <w:r>
        <w:t>6.0 Toxicity</w:t>
      </w:r>
    </w:p>
    <w:p w14:paraId="7BC0526A" w14:textId="0281A874" w:rsidR="004E1554" w:rsidRDefault="0065072D" w:rsidP="004E1554">
      <w:pPr>
        <w:jc w:val="both"/>
      </w:pPr>
      <w:r>
        <w:tab/>
        <w:t>6.1 Drug Holidays</w:t>
      </w:r>
    </w:p>
    <w:p w14:paraId="1C26A79E" w14:textId="7327DD8A" w:rsidR="004E1554" w:rsidRPr="00B33834" w:rsidRDefault="004E1554" w:rsidP="004E1554">
      <w:pPr>
        <w:jc w:val="both"/>
      </w:pPr>
      <w:r>
        <w:tab/>
        <w:t xml:space="preserve">6.2 </w:t>
      </w:r>
      <w:r w:rsidR="0065072D">
        <w:t>Study Stopping Rules</w:t>
      </w:r>
    </w:p>
    <w:p w14:paraId="11F91CA9" w14:textId="77777777" w:rsidR="004E1554" w:rsidRDefault="004E1554" w:rsidP="004E1554">
      <w:pPr>
        <w:jc w:val="both"/>
      </w:pPr>
      <w:r>
        <w:t>7</w:t>
      </w:r>
      <w:r w:rsidRPr="00B33834">
        <w:t>.0 Off Study Criteria</w:t>
      </w:r>
    </w:p>
    <w:p w14:paraId="1CCD4515" w14:textId="77777777" w:rsidR="004E1554" w:rsidRPr="00B33834" w:rsidRDefault="004E1554" w:rsidP="004E1554">
      <w:pPr>
        <w:jc w:val="both"/>
      </w:pPr>
      <w:r>
        <w:t>8.0 Study Communications</w:t>
      </w:r>
    </w:p>
    <w:p w14:paraId="09DFE743" w14:textId="77777777" w:rsidR="004E1554" w:rsidRPr="00B33834" w:rsidRDefault="004E1554" w:rsidP="004E1554">
      <w:pPr>
        <w:jc w:val="both"/>
      </w:pPr>
      <w:r>
        <w:t>9</w:t>
      </w:r>
      <w:r w:rsidRPr="00B33834">
        <w:t>.0 Adverse Events</w:t>
      </w:r>
    </w:p>
    <w:p w14:paraId="6DB7A464" w14:textId="77777777" w:rsidR="004E1554" w:rsidRPr="00B33834" w:rsidRDefault="004E1554" w:rsidP="004E1554">
      <w:pPr>
        <w:jc w:val="both"/>
      </w:pPr>
      <w:r w:rsidRPr="00B33834">
        <w:tab/>
      </w:r>
      <w:r>
        <w:t>9</w:t>
      </w:r>
      <w:r w:rsidRPr="00B33834">
        <w:t>.1 Reconciliation of Adverse Events and Serve Adverse Events</w:t>
      </w:r>
    </w:p>
    <w:p w14:paraId="392A933B" w14:textId="77777777" w:rsidR="004E1554" w:rsidRPr="00B33834" w:rsidRDefault="004E1554" w:rsidP="004E1554">
      <w:pPr>
        <w:jc w:val="both"/>
      </w:pPr>
      <w:r>
        <w:t>10</w:t>
      </w:r>
      <w:r w:rsidRPr="00B33834">
        <w:t>.0 Necropsy</w:t>
      </w:r>
    </w:p>
    <w:p w14:paraId="315EFE80" w14:textId="77777777" w:rsidR="004E1554" w:rsidRPr="00B33834" w:rsidRDefault="004E1554" w:rsidP="004E1554">
      <w:pPr>
        <w:jc w:val="both"/>
      </w:pPr>
      <w:r>
        <w:t>11</w:t>
      </w:r>
      <w:r w:rsidRPr="00B33834">
        <w:t>.0 Data Reporting and Record Keeping</w:t>
      </w:r>
    </w:p>
    <w:p w14:paraId="24563397" w14:textId="77777777" w:rsidR="004E1554" w:rsidRPr="00B33834" w:rsidRDefault="004E1554" w:rsidP="004E1554">
      <w:pPr>
        <w:jc w:val="both"/>
      </w:pPr>
      <w:r w:rsidRPr="00B33834">
        <w:tab/>
      </w:r>
      <w:r>
        <w:t>11</w:t>
      </w:r>
      <w:r w:rsidRPr="00B33834">
        <w:t>.1 Reporting</w:t>
      </w:r>
    </w:p>
    <w:p w14:paraId="1A05FF73" w14:textId="77777777" w:rsidR="004E1554" w:rsidRPr="00B33834" w:rsidRDefault="004E1554" w:rsidP="004E1554">
      <w:pPr>
        <w:jc w:val="both"/>
      </w:pPr>
      <w:r w:rsidRPr="00B33834">
        <w:tab/>
      </w:r>
      <w:r>
        <w:t>11</w:t>
      </w:r>
      <w:r w:rsidRPr="00B33834">
        <w:t>.2 Verification of C3D data entry</w:t>
      </w:r>
    </w:p>
    <w:p w14:paraId="73259F36" w14:textId="77777777" w:rsidR="004E1554" w:rsidRPr="00B33834" w:rsidRDefault="004E1554" w:rsidP="004E1554">
      <w:pPr>
        <w:jc w:val="both"/>
      </w:pPr>
      <w:r>
        <w:t>12</w:t>
      </w:r>
      <w:r w:rsidRPr="00B33834">
        <w:t>.0 Study Drug Formulation</w:t>
      </w:r>
    </w:p>
    <w:p w14:paraId="0559E2EA" w14:textId="77777777" w:rsidR="004E1554" w:rsidRPr="00B33834" w:rsidRDefault="004E1554" w:rsidP="004E1554">
      <w:pPr>
        <w:jc w:val="both"/>
      </w:pPr>
      <w:r>
        <w:t>13</w:t>
      </w:r>
      <w:r w:rsidRPr="00B33834">
        <w:t>.0 Study Drug Management</w:t>
      </w:r>
    </w:p>
    <w:p w14:paraId="6462EE11" w14:textId="77777777" w:rsidR="004E1554" w:rsidRPr="00B33834" w:rsidRDefault="004E1554" w:rsidP="004E1554">
      <w:pPr>
        <w:jc w:val="both"/>
      </w:pPr>
      <w:r w:rsidRPr="00B33834">
        <w:tab/>
      </w:r>
      <w:r>
        <w:t>13</w:t>
      </w:r>
      <w:r w:rsidRPr="00B33834">
        <w:t>.1 Drug Storage</w:t>
      </w:r>
    </w:p>
    <w:p w14:paraId="4253F1D2" w14:textId="77777777" w:rsidR="004E1554" w:rsidRPr="00B33834" w:rsidRDefault="004E1554" w:rsidP="004E1554">
      <w:pPr>
        <w:jc w:val="both"/>
      </w:pPr>
      <w:r w:rsidRPr="00B33834">
        <w:tab/>
      </w:r>
      <w:r>
        <w:t>13</w:t>
      </w:r>
      <w:r w:rsidRPr="00B33834">
        <w:t>.2 Drug Administration</w:t>
      </w:r>
    </w:p>
    <w:p w14:paraId="2970D17E" w14:textId="77777777" w:rsidR="004E1554" w:rsidRPr="00B33834" w:rsidRDefault="004E1554" w:rsidP="004E1554">
      <w:pPr>
        <w:jc w:val="both"/>
      </w:pPr>
      <w:r w:rsidRPr="00B33834">
        <w:tab/>
      </w:r>
      <w:r>
        <w:t>13</w:t>
      </w:r>
      <w:r w:rsidRPr="00B33834">
        <w:t>.3 Drug Reconciliation and Verification</w:t>
      </w:r>
    </w:p>
    <w:p w14:paraId="68219E32" w14:textId="77777777" w:rsidR="004E1554" w:rsidRPr="00B33834" w:rsidRDefault="004E1554" w:rsidP="004E1554">
      <w:pPr>
        <w:jc w:val="both"/>
      </w:pPr>
      <w:r w:rsidRPr="00B33834">
        <w:tab/>
      </w:r>
      <w:r>
        <w:t>13</w:t>
      </w:r>
      <w:r w:rsidRPr="00B33834">
        <w:t>.4 Human Contact</w:t>
      </w:r>
    </w:p>
    <w:p w14:paraId="6CBED2AE" w14:textId="77777777" w:rsidR="004E1554" w:rsidRPr="00B33834" w:rsidRDefault="004E1554" w:rsidP="004E1554">
      <w:pPr>
        <w:pStyle w:val="BodyText3"/>
        <w:jc w:val="both"/>
        <w:rPr>
          <w:u w:val="single"/>
        </w:rPr>
      </w:pPr>
      <w:r w:rsidRPr="00B33834">
        <w:t>1</w:t>
      </w:r>
      <w:r>
        <w:t>4</w:t>
      </w:r>
      <w:r w:rsidRPr="00B33834">
        <w:t>.0 Future Use of Collected Data/Samples:</w:t>
      </w:r>
    </w:p>
    <w:p w14:paraId="6FA55A57" w14:textId="77777777" w:rsidR="004E1554" w:rsidRPr="00B33834" w:rsidRDefault="004E1554" w:rsidP="004E15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color w:val="000000"/>
        </w:rPr>
      </w:pPr>
      <w:r w:rsidRPr="00B33834">
        <w:lastRenderedPageBreak/>
        <w:tab/>
      </w:r>
      <w:r w:rsidRPr="00B33834">
        <w:rPr>
          <w:color w:val="000000"/>
        </w:rPr>
        <w:t>1</w:t>
      </w:r>
      <w:r>
        <w:rPr>
          <w:color w:val="000000"/>
        </w:rPr>
        <w:t>4</w:t>
      </w:r>
      <w:r w:rsidRPr="00B33834">
        <w:rPr>
          <w:color w:val="000000"/>
        </w:rPr>
        <w:t xml:space="preserve">.1 Biological endpoints to be assessed </w:t>
      </w:r>
    </w:p>
    <w:p w14:paraId="3587A2A2" w14:textId="77777777" w:rsidR="004E1554" w:rsidRDefault="004E1554" w:rsidP="004E1554">
      <w:pPr>
        <w:spacing w:line="276" w:lineRule="auto"/>
        <w:jc w:val="both"/>
        <w:rPr>
          <w:b/>
          <w:u w:val="single"/>
        </w:rPr>
      </w:pPr>
    </w:p>
    <w:p w14:paraId="4B512B8F" w14:textId="77777777" w:rsidR="00470A46" w:rsidRDefault="00470A46" w:rsidP="004E1554">
      <w:pPr>
        <w:spacing w:line="276" w:lineRule="auto"/>
        <w:jc w:val="both"/>
        <w:rPr>
          <w:b/>
          <w:u w:val="single"/>
        </w:rPr>
      </w:pPr>
    </w:p>
    <w:p w14:paraId="0400E7C4" w14:textId="77777777" w:rsidR="00470A46" w:rsidRDefault="00470A46" w:rsidP="004E1554">
      <w:pPr>
        <w:spacing w:line="276" w:lineRule="auto"/>
        <w:jc w:val="both"/>
        <w:rPr>
          <w:b/>
          <w:u w:val="single"/>
        </w:rPr>
      </w:pPr>
    </w:p>
    <w:p w14:paraId="0CADDF5C" w14:textId="77777777" w:rsidR="001C78FD" w:rsidRDefault="001C78FD" w:rsidP="004E1554">
      <w:pPr>
        <w:spacing w:line="276" w:lineRule="auto"/>
        <w:jc w:val="both"/>
        <w:rPr>
          <w:b/>
          <w:u w:val="single"/>
        </w:rPr>
      </w:pPr>
    </w:p>
    <w:p w14:paraId="055E96E8" w14:textId="77777777" w:rsidR="001C78FD" w:rsidRDefault="001C78FD" w:rsidP="004E1554">
      <w:pPr>
        <w:spacing w:line="276" w:lineRule="auto"/>
        <w:jc w:val="both"/>
        <w:rPr>
          <w:b/>
          <w:u w:val="single"/>
        </w:rPr>
      </w:pPr>
    </w:p>
    <w:p w14:paraId="18CFE487" w14:textId="77777777" w:rsidR="001C78FD" w:rsidRDefault="001C78FD" w:rsidP="004E1554">
      <w:pPr>
        <w:spacing w:line="276" w:lineRule="auto"/>
        <w:jc w:val="both"/>
        <w:rPr>
          <w:b/>
          <w:u w:val="single"/>
        </w:rPr>
      </w:pPr>
    </w:p>
    <w:p w14:paraId="22095DC4" w14:textId="621C2E00" w:rsidR="00161468" w:rsidRPr="00B33834" w:rsidRDefault="00161468" w:rsidP="004E1554">
      <w:pPr>
        <w:spacing w:line="276" w:lineRule="auto"/>
        <w:jc w:val="both"/>
        <w:rPr>
          <w:b/>
          <w:u w:val="single"/>
        </w:rPr>
      </w:pPr>
      <w:r w:rsidRPr="00B33834">
        <w:rPr>
          <w:b/>
          <w:u w:val="single"/>
        </w:rPr>
        <w:t>1.0</w:t>
      </w:r>
      <w:r w:rsidR="00500B4B" w:rsidRPr="00B33834">
        <w:rPr>
          <w:b/>
          <w:u w:val="single"/>
        </w:rPr>
        <w:t xml:space="preserve"> </w:t>
      </w:r>
      <w:r w:rsidRPr="00B33834">
        <w:rPr>
          <w:b/>
          <w:u w:val="single"/>
        </w:rPr>
        <w:t>Study Objectives</w:t>
      </w:r>
    </w:p>
    <w:p w14:paraId="43E82673" w14:textId="6AF91925" w:rsidR="00043349" w:rsidRPr="00B33834" w:rsidRDefault="00043349" w:rsidP="00043349">
      <w:pPr>
        <w:jc w:val="both"/>
      </w:pPr>
      <w:r w:rsidRPr="00B33834">
        <w:t>(1)</w:t>
      </w:r>
      <w:r>
        <w:t xml:space="preserve"> Investigate the antimetastatic effects of rapamycin when added to an SOC backbone for the treatment of canine osteosarcoma, as measured by statistically significant improvement in disease-free interval (DFI) over SOC alone in a prospective, randomized clinical trial setting</w:t>
      </w:r>
    </w:p>
    <w:p w14:paraId="3C17EABC" w14:textId="77777777" w:rsidR="00043349" w:rsidRPr="00B33834" w:rsidRDefault="00043349" w:rsidP="00043349">
      <w:pPr>
        <w:jc w:val="both"/>
      </w:pPr>
      <w:r w:rsidRPr="00B33834">
        <w:t xml:space="preserve"> (2)</w:t>
      </w:r>
      <w:r>
        <w:t xml:space="preserve"> Identify key factors related to tolerability and clinical efficacy of rapamycin when studied in the Minimal Residual Disease (MRD) setting, such as PK parameters, evidence of target modulation within surrogate tissues, and patient/tumor related factors</w:t>
      </w:r>
    </w:p>
    <w:p w14:paraId="5A7159B9" w14:textId="77777777" w:rsidR="004469FD" w:rsidRPr="00B33834" w:rsidRDefault="004469FD" w:rsidP="00826D24">
      <w:pPr>
        <w:jc w:val="both"/>
        <w:rPr>
          <w:b/>
        </w:rPr>
      </w:pPr>
    </w:p>
    <w:p w14:paraId="3664F887" w14:textId="4491FDD8" w:rsidR="00161468" w:rsidRPr="00826D24" w:rsidDel="00BF0CAA" w:rsidRDefault="00161468" w:rsidP="00826D24">
      <w:pPr>
        <w:jc w:val="both"/>
        <w:rPr>
          <w:b/>
          <w:u w:val="single"/>
        </w:rPr>
      </w:pPr>
      <w:r w:rsidRPr="00B33834">
        <w:rPr>
          <w:b/>
          <w:u w:val="single"/>
        </w:rPr>
        <w:t>2.0 Study Implementation</w:t>
      </w:r>
    </w:p>
    <w:p w14:paraId="5A9F10EF" w14:textId="77777777" w:rsidR="00161468" w:rsidRPr="00B33834" w:rsidRDefault="00161468" w:rsidP="0066799B">
      <w:pPr>
        <w:pStyle w:val="ColorfulList-Accent11"/>
        <w:ind w:left="0" w:firstLine="360"/>
        <w:jc w:val="both"/>
        <w:rPr>
          <w:b/>
        </w:rPr>
      </w:pPr>
      <w:r w:rsidRPr="00B33834">
        <w:rPr>
          <w:b/>
        </w:rPr>
        <w:t>2.1 Study Design</w:t>
      </w:r>
    </w:p>
    <w:p w14:paraId="69BCD50F" w14:textId="7C3200AB" w:rsidR="00B33834" w:rsidRDefault="00B33834" w:rsidP="00AC55FA">
      <w:pPr>
        <w:pStyle w:val="ColorfulList-Accent11"/>
        <w:ind w:left="360"/>
        <w:jc w:val="both"/>
      </w:pPr>
      <w:r w:rsidRPr="00B33834">
        <w:t xml:space="preserve">An open label, prospective preclinical trial of </w:t>
      </w:r>
      <w:r w:rsidR="004469FD">
        <w:t xml:space="preserve">SOC followed by </w:t>
      </w:r>
      <w:r w:rsidRPr="00B33834">
        <w:t xml:space="preserve">orally administered rapamycin will be conducted in dogs with osteosarcoma through the Comparative Oncology Trials Consortium. This is a fixed </w:t>
      </w:r>
      <w:r w:rsidR="00D257F7">
        <w:t xml:space="preserve">dose and </w:t>
      </w:r>
      <w:r w:rsidRPr="00B33834">
        <w:t>schedule</w:t>
      </w:r>
      <w:r w:rsidR="00D257F7">
        <w:t xml:space="preserve"> </w:t>
      </w:r>
      <w:r w:rsidRPr="00B33834">
        <w:t xml:space="preserve">study in dogs with osteosarcoma.  The study period </w:t>
      </w:r>
      <w:r w:rsidR="0043247C">
        <w:t xml:space="preserve">for rapamycin exposure after completion of SOC </w:t>
      </w:r>
      <w:r w:rsidRPr="00B33834">
        <w:t xml:space="preserve">will be </w:t>
      </w:r>
      <w:r w:rsidR="00D257F7">
        <w:t>4 months</w:t>
      </w:r>
      <w:r w:rsidR="008357B8">
        <w:t xml:space="preserve"> (Weeks 15-31). </w:t>
      </w:r>
      <w:r w:rsidRPr="00B33834">
        <w:t>Dogs with progressive disease during or upon study completion will be removed.</w:t>
      </w:r>
    </w:p>
    <w:p w14:paraId="715D23A1" w14:textId="77777777" w:rsidR="0043247C" w:rsidRDefault="0043247C" w:rsidP="00AC55FA">
      <w:pPr>
        <w:pStyle w:val="ColorfulList-Accent11"/>
        <w:ind w:left="360"/>
        <w:jc w:val="both"/>
      </w:pPr>
    </w:p>
    <w:p w14:paraId="71598E2E" w14:textId="5D49C025" w:rsidR="0043247C" w:rsidRPr="00EC7320" w:rsidRDefault="0043247C" w:rsidP="0043247C">
      <w:pPr>
        <w:ind w:firstLine="720"/>
        <w:jc w:val="both"/>
        <w:rPr>
          <w:b/>
          <w:bCs/>
        </w:rPr>
      </w:pPr>
      <w:r w:rsidRPr="00EC7320">
        <w:rPr>
          <w:b/>
          <w:bCs/>
        </w:rPr>
        <w:t xml:space="preserve">2.1.1 </w:t>
      </w:r>
      <w:r>
        <w:rPr>
          <w:b/>
          <w:bCs/>
        </w:rPr>
        <w:t xml:space="preserve">Standard of Care </w:t>
      </w:r>
      <w:r w:rsidRPr="00EC7320">
        <w:rPr>
          <w:b/>
          <w:bCs/>
        </w:rPr>
        <w:t>Treatment Regimen</w:t>
      </w:r>
    </w:p>
    <w:p w14:paraId="3DE9A78D" w14:textId="77777777" w:rsidR="00043349" w:rsidRDefault="0043247C" w:rsidP="0043247C">
      <w:pPr>
        <w:ind w:left="720"/>
        <w:jc w:val="both"/>
        <w:rPr>
          <w:bCs/>
        </w:rPr>
      </w:pPr>
      <w:r w:rsidRPr="00EC7320">
        <w:rPr>
          <w:bCs/>
        </w:rPr>
        <w:t xml:space="preserve">Based on eligibility, which requires cytologic (inclusive of alkaline phosphatase positivity) or histologic confirmatory diagnosis of appendicular osteosarcoma with no evidence of metastatic disease, dogs will undergo definitive surgery at the COTC institution to allow banking of tumor and normal tissue removed at the time of surgery. Surgery must occur within 7 days of enrollment on study. Definitive surgery is defined as removal of the entire tumor mass via limb amputation. </w:t>
      </w:r>
    </w:p>
    <w:p w14:paraId="35E19713" w14:textId="77777777" w:rsidR="00043349" w:rsidRDefault="00043349" w:rsidP="0043247C">
      <w:pPr>
        <w:ind w:left="720"/>
        <w:jc w:val="both"/>
        <w:rPr>
          <w:bCs/>
        </w:rPr>
      </w:pPr>
    </w:p>
    <w:p w14:paraId="13B071BD" w14:textId="48E16B8F" w:rsidR="0043247C" w:rsidRDefault="0043247C" w:rsidP="0043247C">
      <w:pPr>
        <w:ind w:left="720"/>
        <w:jc w:val="both"/>
      </w:pPr>
      <w:r w:rsidRPr="00EC7320">
        <w:rPr>
          <w:bCs/>
        </w:rPr>
        <w:t xml:space="preserve">Between </w:t>
      </w:r>
      <w:r w:rsidRPr="00EC7320">
        <w:t xml:space="preserve">Days 10-14 post-operative, dogs must begin adjuvant carboplatin chemotherapy, unless special circumstances arise, ie. surgical dehiscence with infection. Discussion with </w:t>
      </w:r>
      <w:r w:rsidR="00183D6B">
        <w:t>Dr.</w:t>
      </w:r>
      <w:r w:rsidRPr="00EC7320">
        <w:t xml:space="preserve"> Fan is required prior to deviation from this timeline.</w:t>
      </w:r>
    </w:p>
    <w:p w14:paraId="7146A30A" w14:textId="77777777" w:rsidR="00043349" w:rsidRPr="00EC7320" w:rsidRDefault="00043349" w:rsidP="0043247C">
      <w:pPr>
        <w:ind w:left="720"/>
        <w:jc w:val="both"/>
      </w:pPr>
    </w:p>
    <w:p w14:paraId="730814A2" w14:textId="77777777" w:rsidR="0043247C" w:rsidRPr="00EC7320" w:rsidRDefault="0043247C" w:rsidP="0043247C">
      <w:pPr>
        <w:ind w:left="720"/>
        <w:jc w:val="both"/>
        <w:rPr>
          <w:bCs/>
        </w:rPr>
      </w:pPr>
      <w:r w:rsidRPr="00EC7320">
        <w:rPr>
          <w:bCs/>
        </w:rPr>
        <w:t>Dogs will receive 4 doses of carboplatin at 300 mg/m</w:t>
      </w:r>
      <w:r w:rsidRPr="00EC7320">
        <w:rPr>
          <w:bCs/>
          <w:vertAlign w:val="superscript"/>
        </w:rPr>
        <w:t>2</w:t>
      </w:r>
      <w:r w:rsidRPr="00EC7320">
        <w:rPr>
          <w:bCs/>
        </w:rPr>
        <w:t xml:space="preserve"> given at 3 week (q 21day) intervals. Follow up visits to the COTC site are required at pre-determined intervals after completion of chemotherapy for physical examination, biologic sample collections, and thoracic radiographic examinations. </w:t>
      </w:r>
    </w:p>
    <w:p w14:paraId="180C74CE" w14:textId="77777777" w:rsidR="0043247C" w:rsidRPr="00EC7320" w:rsidRDefault="0043247C" w:rsidP="0043247C">
      <w:pPr>
        <w:jc w:val="both"/>
        <w:rPr>
          <w:bCs/>
          <w:i/>
        </w:rPr>
      </w:pPr>
    </w:p>
    <w:p w14:paraId="30E9B052" w14:textId="3D6CAE48" w:rsidR="0043247C" w:rsidRPr="00130287" w:rsidRDefault="00043349" w:rsidP="0043247C">
      <w:pPr>
        <w:jc w:val="both"/>
        <w:rPr>
          <w:b/>
          <w:bCs/>
        </w:rPr>
      </w:pPr>
      <w:r>
        <w:rPr>
          <w:bCs/>
        </w:rPr>
        <w:tab/>
      </w:r>
      <w:r w:rsidRPr="00130287">
        <w:rPr>
          <w:b/>
          <w:bCs/>
        </w:rPr>
        <w:t xml:space="preserve">2.1.2 Initiation of </w:t>
      </w:r>
      <w:r w:rsidR="00130287">
        <w:rPr>
          <w:b/>
          <w:bCs/>
        </w:rPr>
        <w:t>A</w:t>
      </w:r>
      <w:r w:rsidRPr="00130287">
        <w:rPr>
          <w:b/>
          <w:bCs/>
        </w:rPr>
        <w:t xml:space="preserve">djuvant </w:t>
      </w:r>
      <w:r w:rsidR="00130287">
        <w:rPr>
          <w:b/>
          <w:bCs/>
        </w:rPr>
        <w:t>R</w:t>
      </w:r>
      <w:r w:rsidR="00130287" w:rsidRPr="00130287">
        <w:rPr>
          <w:b/>
          <w:bCs/>
        </w:rPr>
        <w:t xml:space="preserve">apamycin </w:t>
      </w:r>
      <w:r w:rsidR="00130287">
        <w:rPr>
          <w:b/>
          <w:bCs/>
        </w:rPr>
        <w:t>T</w:t>
      </w:r>
      <w:r w:rsidR="00130287" w:rsidRPr="00130287">
        <w:rPr>
          <w:b/>
          <w:bCs/>
        </w:rPr>
        <w:t>herapy</w:t>
      </w:r>
    </w:p>
    <w:p w14:paraId="38D73A68" w14:textId="60D1856B" w:rsidR="00043349" w:rsidRPr="003203E7" w:rsidRDefault="00043349" w:rsidP="003203E7">
      <w:pPr>
        <w:ind w:left="720"/>
        <w:jc w:val="both"/>
        <w:rPr>
          <w:b/>
          <w:bCs/>
        </w:rPr>
      </w:pPr>
      <w:r>
        <w:t xml:space="preserve">After completion of all 4 doses of adjuvant carboplatin, dogs must be restaged and confirmed as No Evidence of Disease (NED) </w:t>
      </w:r>
      <w:r w:rsidR="00B5031B">
        <w:t xml:space="preserve">based upon thorough physical examination and 3-view thoracic radiographs </w:t>
      </w:r>
      <w:r>
        <w:t>prior to initiation of rapamycin administration, for which a treatment period of 16 weeks is anticipated.</w:t>
      </w:r>
    </w:p>
    <w:p w14:paraId="5D433AF1" w14:textId="77777777" w:rsidR="0043247C" w:rsidRPr="00EC7320" w:rsidRDefault="0043247C" w:rsidP="0043247C">
      <w:pPr>
        <w:jc w:val="both"/>
      </w:pPr>
    </w:p>
    <w:p w14:paraId="7739087D" w14:textId="77777777" w:rsidR="0043247C" w:rsidRPr="00EC7320" w:rsidRDefault="0043247C" w:rsidP="00130287">
      <w:pPr>
        <w:ind w:firstLine="360"/>
        <w:jc w:val="both"/>
        <w:rPr>
          <w:b/>
        </w:rPr>
      </w:pPr>
      <w:r w:rsidRPr="00EC7320">
        <w:rPr>
          <w:b/>
        </w:rPr>
        <w:t>2.2 Study Patients</w:t>
      </w:r>
    </w:p>
    <w:p w14:paraId="6207948D" w14:textId="77777777" w:rsidR="0043247C" w:rsidRPr="00EC7320" w:rsidRDefault="0043247C" w:rsidP="0043247C">
      <w:pPr>
        <w:jc w:val="both"/>
        <w:rPr>
          <w:b/>
        </w:rPr>
      </w:pPr>
    </w:p>
    <w:p w14:paraId="57DAC9DA" w14:textId="0D66E0AB" w:rsidR="0043247C" w:rsidRPr="00424FA4" w:rsidRDefault="0043247C" w:rsidP="00130287">
      <w:pPr>
        <w:ind w:left="360" w:firstLine="360"/>
        <w:jc w:val="both"/>
        <w:rPr>
          <w:b/>
        </w:rPr>
      </w:pPr>
      <w:r w:rsidRPr="00424FA4">
        <w:rPr>
          <w:b/>
        </w:rPr>
        <w:t>2.2.1 Baseline Evaluation for Eligibility</w:t>
      </w:r>
    </w:p>
    <w:p w14:paraId="7F7E87DC" w14:textId="3B5F2560" w:rsidR="0043247C" w:rsidRPr="00424FA4" w:rsidRDefault="0043247C" w:rsidP="0043247C">
      <w:pPr>
        <w:pStyle w:val="ListParagraph"/>
        <w:numPr>
          <w:ilvl w:val="0"/>
          <w:numId w:val="20"/>
        </w:numPr>
        <w:jc w:val="both"/>
        <w:rPr>
          <w:rFonts w:ascii="Times" w:hAnsi="Times"/>
          <w:sz w:val="24"/>
          <w:szCs w:val="24"/>
        </w:rPr>
      </w:pPr>
      <w:r w:rsidRPr="00424FA4">
        <w:rPr>
          <w:rFonts w:ascii="Times" w:hAnsi="Times"/>
          <w:sz w:val="24"/>
          <w:szCs w:val="24"/>
        </w:rPr>
        <w:t xml:space="preserve">The following are required for enrollment and must be performed at the COTC institution </w:t>
      </w:r>
      <m:oMath>
        <m:r>
          <w:rPr>
            <w:rFonts w:ascii="Cambria Math" w:hAnsi="Cambria Math"/>
            <w:sz w:val="24"/>
            <w:szCs w:val="24"/>
          </w:rPr>
          <m:t>≤</m:t>
        </m:r>
      </m:oMath>
      <w:r w:rsidRPr="00424FA4">
        <w:rPr>
          <w:rFonts w:ascii="Times" w:hAnsi="Times"/>
          <w:sz w:val="24"/>
          <w:szCs w:val="24"/>
        </w:rPr>
        <w:t xml:space="preserve"> 7 days before definitive surgery</w:t>
      </w:r>
      <w:r w:rsidR="00B5031B">
        <w:rPr>
          <w:rFonts w:ascii="Times" w:hAnsi="Times"/>
          <w:sz w:val="24"/>
          <w:szCs w:val="24"/>
        </w:rPr>
        <w:t>:</w:t>
      </w:r>
      <w:r w:rsidRPr="00424FA4">
        <w:rPr>
          <w:rFonts w:ascii="Times" w:hAnsi="Times"/>
          <w:sz w:val="24"/>
          <w:szCs w:val="24"/>
        </w:rPr>
        <w:t xml:space="preserve"> </w:t>
      </w:r>
    </w:p>
    <w:p w14:paraId="342EF0B1" w14:textId="77777777" w:rsidR="0043247C" w:rsidRPr="00424FA4" w:rsidRDefault="0043247C" w:rsidP="00826D24">
      <w:pPr>
        <w:pStyle w:val="ListParagraph"/>
        <w:numPr>
          <w:ilvl w:val="1"/>
          <w:numId w:val="20"/>
        </w:numPr>
        <w:jc w:val="both"/>
        <w:rPr>
          <w:rFonts w:ascii="Times" w:hAnsi="Times"/>
          <w:sz w:val="24"/>
          <w:szCs w:val="24"/>
        </w:rPr>
      </w:pPr>
      <w:r w:rsidRPr="00424FA4">
        <w:rPr>
          <w:rFonts w:ascii="Times" w:hAnsi="Times"/>
          <w:sz w:val="24"/>
          <w:szCs w:val="24"/>
        </w:rPr>
        <w:t>Physical examination with weight recorded</w:t>
      </w:r>
    </w:p>
    <w:p w14:paraId="07D49431" w14:textId="77777777" w:rsidR="0043247C" w:rsidRPr="00424FA4" w:rsidRDefault="0043247C" w:rsidP="00826D24">
      <w:pPr>
        <w:pStyle w:val="ListParagraph"/>
        <w:numPr>
          <w:ilvl w:val="1"/>
          <w:numId w:val="20"/>
        </w:numPr>
        <w:jc w:val="both"/>
        <w:rPr>
          <w:rFonts w:ascii="Times" w:hAnsi="Times"/>
          <w:sz w:val="24"/>
          <w:szCs w:val="24"/>
        </w:rPr>
      </w:pPr>
      <w:r w:rsidRPr="00424FA4">
        <w:rPr>
          <w:rFonts w:ascii="Times" w:hAnsi="Times"/>
          <w:sz w:val="24"/>
          <w:szCs w:val="24"/>
        </w:rPr>
        <w:t>CBC, serum biochemistry, urinalysis</w:t>
      </w:r>
    </w:p>
    <w:p w14:paraId="6BDAA33C" w14:textId="1098B400" w:rsidR="0043247C" w:rsidRDefault="00B5031B" w:rsidP="00826D24">
      <w:pPr>
        <w:pStyle w:val="ListParagraph"/>
        <w:numPr>
          <w:ilvl w:val="1"/>
          <w:numId w:val="20"/>
        </w:numPr>
        <w:jc w:val="both"/>
        <w:rPr>
          <w:rFonts w:ascii="Times" w:hAnsi="Times"/>
          <w:sz w:val="24"/>
          <w:szCs w:val="24"/>
        </w:rPr>
      </w:pPr>
      <w:r>
        <w:rPr>
          <w:rFonts w:ascii="Times" w:hAnsi="Times"/>
          <w:sz w:val="24"/>
          <w:szCs w:val="24"/>
        </w:rPr>
        <w:t>No</w:t>
      </w:r>
      <w:r w:rsidR="0043247C" w:rsidRPr="00424FA4">
        <w:rPr>
          <w:rFonts w:ascii="Times" w:hAnsi="Times"/>
          <w:sz w:val="24"/>
          <w:szCs w:val="24"/>
        </w:rPr>
        <w:t xml:space="preserve"> evidence of pulmonary metastatic disease based upon 3-view thoracic radiography</w:t>
      </w:r>
      <w:r w:rsidR="009C486A">
        <w:rPr>
          <w:rFonts w:ascii="Times" w:hAnsi="Times"/>
          <w:sz w:val="24"/>
          <w:szCs w:val="24"/>
        </w:rPr>
        <w:t xml:space="preserve"> </w:t>
      </w:r>
      <w:r w:rsidR="0043247C" w:rsidRPr="00424FA4">
        <w:rPr>
          <w:rFonts w:ascii="Times" w:hAnsi="Times"/>
          <w:sz w:val="24"/>
          <w:szCs w:val="24"/>
        </w:rPr>
        <w:t>reviewed by a board-certified radiologist</w:t>
      </w:r>
    </w:p>
    <w:p w14:paraId="6749F18D" w14:textId="3D9B1BFD" w:rsidR="0043247C" w:rsidRPr="00826D24" w:rsidRDefault="00B5031B" w:rsidP="00826D24">
      <w:pPr>
        <w:pStyle w:val="ListParagraph"/>
        <w:numPr>
          <w:ilvl w:val="1"/>
          <w:numId w:val="20"/>
        </w:numPr>
        <w:jc w:val="both"/>
        <w:rPr>
          <w:rFonts w:ascii="Times" w:hAnsi="Times"/>
          <w:sz w:val="24"/>
          <w:szCs w:val="24"/>
        </w:rPr>
      </w:pPr>
      <w:r>
        <w:rPr>
          <w:rFonts w:ascii="Times" w:hAnsi="Times"/>
          <w:sz w:val="24"/>
          <w:szCs w:val="24"/>
        </w:rPr>
        <w:t>No evidence of visceral metastases based upon abdominal ultrasound reviewed by a board-certified radiologist</w:t>
      </w:r>
    </w:p>
    <w:p w14:paraId="77ADB971" w14:textId="202E48B9" w:rsidR="00130287" w:rsidRDefault="0043247C" w:rsidP="00B0783D">
      <w:pPr>
        <w:ind w:firstLine="720"/>
        <w:jc w:val="both"/>
      </w:pPr>
      <w:r w:rsidRPr="00424FA4">
        <w:rPr>
          <w:b/>
        </w:rPr>
        <w:t>2.2.2 Eligibility Criteria:</w:t>
      </w:r>
      <w:r w:rsidR="00130287">
        <w:tab/>
      </w:r>
    </w:p>
    <w:p w14:paraId="04229745" w14:textId="363AAADD" w:rsidR="0043247C" w:rsidRPr="00B0783D" w:rsidRDefault="00302FAF" w:rsidP="00B0783D">
      <w:pPr>
        <w:pStyle w:val="ListParagraph"/>
        <w:numPr>
          <w:ilvl w:val="0"/>
          <w:numId w:val="24"/>
        </w:numPr>
        <w:jc w:val="both"/>
        <w:rPr>
          <w:rFonts w:ascii="Times" w:hAnsi="Times"/>
          <w:sz w:val="24"/>
          <w:szCs w:val="24"/>
        </w:rPr>
      </w:pPr>
      <w:r>
        <w:rPr>
          <w:rFonts w:ascii="Times" w:hAnsi="Times"/>
          <w:sz w:val="24"/>
          <w:szCs w:val="24"/>
        </w:rPr>
        <w:t>H</w:t>
      </w:r>
      <w:r w:rsidRPr="00B0783D">
        <w:rPr>
          <w:rFonts w:ascii="Times" w:hAnsi="Times"/>
          <w:sz w:val="24"/>
          <w:szCs w:val="24"/>
        </w:rPr>
        <w:t xml:space="preserve">istologically </w:t>
      </w:r>
      <w:r w:rsidR="0043247C" w:rsidRPr="00B0783D">
        <w:rPr>
          <w:rFonts w:ascii="Times" w:hAnsi="Times"/>
          <w:sz w:val="24"/>
          <w:szCs w:val="24"/>
        </w:rPr>
        <w:t xml:space="preserve">or cytologically (inclusive of alkaline phosphatase positivity) confirmed osteosarcoma </w:t>
      </w:r>
    </w:p>
    <w:p w14:paraId="3E11D56F" w14:textId="03B9AEE4" w:rsidR="0043247C" w:rsidRPr="00424FA4" w:rsidRDefault="00302FAF" w:rsidP="0043247C">
      <w:pPr>
        <w:pStyle w:val="ListParagraph"/>
        <w:numPr>
          <w:ilvl w:val="0"/>
          <w:numId w:val="21"/>
        </w:numPr>
        <w:ind w:left="1080"/>
        <w:jc w:val="both"/>
        <w:rPr>
          <w:rFonts w:ascii="Times" w:hAnsi="Times"/>
          <w:sz w:val="24"/>
          <w:szCs w:val="24"/>
        </w:rPr>
      </w:pPr>
      <w:r>
        <w:rPr>
          <w:rFonts w:ascii="Times" w:hAnsi="Times"/>
          <w:sz w:val="24"/>
          <w:szCs w:val="24"/>
        </w:rPr>
        <w:t>M</w:t>
      </w:r>
      <w:r w:rsidRPr="00424FA4">
        <w:rPr>
          <w:rFonts w:ascii="Times" w:hAnsi="Times"/>
          <w:sz w:val="24"/>
          <w:szCs w:val="24"/>
        </w:rPr>
        <w:t xml:space="preserve">easurable </w:t>
      </w:r>
      <w:r w:rsidR="0043247C" w:rsidRPr="00424FA4">
        <w:rPr>
          <w:rFonts w:ascii="Times" w:hAnsi="Times"/>
          <w:sz w:val="24"/>
          <w:szCs w:val="24"/>
        </w:rPr>
        <w:t xml:space="preserve">disease that is amenable to surgical removal via amputation (No evidence of metastasis based upon physical exam, thoracic radiographs, and abdominal ultrasound). </w:t>
      </w:r>
    </w:p>
    <w:p w14:paraId="4D35D2F9" w14:textId="057702B3" w:rsidR="0043247C" w:rsidRPr="008E6C2C" w:rsidRDefault="00302FAF" w:rsidP="0043247C">
      <w:pPr>
        <w:pStyle w:val="ListParagraph"/>
        <w:numPr>
          <w:ilvl w:val="0"/>
          <w:numId w:val="21"/>
        </w:numPr>
        <w:ind w:left="1080"/>
        <w:jc w:val="both"/>
        <w:rPr>
          <w:rFonts w:ascii="Times" w:hAnsi="Times"/>
          <w:sz w:val="24"/>
          <w:szCs w:val="24"/>
        </w:rPr>
      </w:pPr>
      <w:r>
        <w:rPr>
          <w:rFonts w:ascii="Times" w:hAnsi="Times"/>
          <w:sz w:val="24"/>
          <w:szCs w:val="24"/>
        </w:rPr>
        <w:t>F</w:t>
      </w:r>
      <w:r w:rsidRPr="008E6C2C">
        <w:rPr>
          <w:rFonts w:ascii="Times" w:hAnsi="Times"/>
          <w:sz w:val="24"/>
          <w:szCs w:val="24"/>
        </w:rPr>
        <w:t xml:space="preserve">avorable </w:t>
      </w:r>
      <w:r w:rsidR="0043247C" w:rsidRPr="008E6C2C">
        <w:rPr>
          <w:rFonts w:ascii="Times" w:hAnsi="Times"/>
          <w:sz w:val="24"/>
          <w:szCs w:val="24"/>
        </w:rPr>
        <w:t>performance status</w:t>
      </w:r>
      <w:r w:rsidR="0043247C">
        <w:rPr>
          <w:rFonts w:ascii="Times" w:hAnsi="Times"/>
          <w:sz w:val="24"/>
          <w:szCs w:val="24"/>
        </w:rPr>
        <w:t xml:space="preserve">: </w:t>
      </w:r>
      <w:r w:rsidR="0043247C" w:rsidRPr="008E6C2C">
        <w:rPr>
          <w:rFonts w:ascii="Times" w:hAnsi="Times"/>
          <w:sz w:val="24"/>
          <w:szCs w:val="24"/>
        </w:rPr>
        <w:t>Grade 0 or 1 (</w:t>
      </w:r>
      <w:r w:rsidR="0043247C" w:rsidRPr="008E6C2C">
        <w:rPr>
          <w:rFonts w:ascii="Times" w:hAnsi="Times"/>
          <w:i/>
          <w:sz w:val="24"/>
          <w:szCs w:val="24"/>
        </w:rPr>
        <w:t>modified ECOG criteria)</w:t>
      </w:r>
    </w:p>
    <w:p w14:paraId="24EB7785" w14:textId="41AF4466" w:rsidR="0043247C" w:rsidRDefault="0043247C" w:rsidP="0043247C">
      <w:pPr>
        <w:pStyle w:val="ListParagraph"/>
        <w:numPr>
          <w:ilvl w:val="0"/>
          <w:numId w:val="21"/>
        </w:numPr>
        <w:ind w:left="1080"/>
        <w:jc w:val="both"/>
        <w:rPr>
          <w:rFonts w:ascii="Times" w:hAnsi="Times"/>
          <w:sz w:val="24"/>
          <w:szCs w:val="24"/>
        </w:rPr>
      </w:pPr>
      <w:r w:rsidRPr="00424FA4">
        <w:rPr>
          <w:rFonts w:ascii="Times" w:hAnsi="Times"/>
          <w:sz w:val="24"/>
          <w:szCs w:val="24"/>
        </w:rPr>
        <w:t>ONLY newly diagnosed dogs are eligible with no prior therapy</w:t>
      </w:r>
      <w:r w:rsidR="00B5031B">
        <w:rPr>
          <w:rFonts w:ascii="Times" w:hAnsi="Times"/>
          <w:sz w:val="24"/>
          <w:szCs w:val="24"/>
        </w:rPr>
        <w:t xml:space="preserve"> (conventional or metronomic chemotherapy, ionizing radiation, bisphosphonates)</w:t>
      </w:r>
      <w:r w:rsidRPr="00424FA4">
        <w:rPr>
          <w:rFonts w:ascii="Times" w:hAnsi="Times"/>
          <w:sz w:val="24"/>
          <w:szCs w:val="24"/>
        </w:rPr>
        <w:t xml:space="preserve"> for </w:t>
      </w:r>
      <w:r w:rsidR="00B5031B">
        <w:rPr>
          <w:rFonts w:ascii="Times" w:hAnsi="Times"/>
          <w:sz w:val="24"/>
          <w:szCs w:val="24"/>
        </w:rPr>
        <w:t>osteosarcoma</w:t>
      </w:r>
    </w:p>
    <w:p w14:paraId="7E68890E" w14:textId="0B5EE64F" w:rsidR="00B5031B" w:rsidRPr="00424FA4" w:rsidRDefault="00B5031B" w:rsidP="0043247C">
      <w:pPr>
        <w:pStyle w:val="ListParagraph"/>
        <w:numPr>
          <w:ilvl w:val="0"/>
          <w:numId w:val="21"/>
        </w:numPr>
        <w:ind w:left="1080"/>
        <w:jc w:val="both"/>
        <w:rPr>
          <w:rFonts w:ascii="Times" w:hAnsi="Times"/>
          <w:sz w:val="24"/>
          <w:szCs w:val="24"/>
        </w:rPr>
      </w:pPr>
      <w:r>
        <w:rPr>
          <w:rFonts w:ascii="Times" w:hAnsi="Times"/>
          <w:sz w:val="24"/>
          <w:szCs w:val="24"/>
        </w:rPr>
        <w:t>Dogs receiving analgesics including NSAIDs, gabapentin, tramadol, or other will be eligible for study inclusion</w:t>
      </w:r>
    </w:p>
    <w:p w14:paraId="7854F3B8" w14:textId="7BDFDFCF" w:rsidR="0043247C" w:rsidRPr="00424FA4" w:rsidRDefault="00302FAF" w:rsidP="0043247C">
      <w:pPr>
        <w:pStyle w:val="ListParagraph"/>
        <w:numPr>
          <w:ilvl w:val="0"/>
          <w:numId w:val="21"/>
        </w:numPr>
        <w:ind w:left="1080"/>
        <w:jc w:val="both"/>
        <w:rPr>
          <w:rFonts w:ascii="Times" w:hAnsi="Times"/>
          <w:sz w:val="24"/>
          <w:szCs w:val="24"/>
        </w:rPr>
      </w:pPr>
      <w:r>
        <w:rPr>
          <w:rFonts w:ascii="Times" w:hAnsi="Times"/>
          <w:sz w:val="24"/>
          <w:szCs w:val="24"/>
        </w:rPr>
        <w:t>I</w:t>
      </w:r>
      <w:r w:rsidRPr="00424FA4">
        <w:rPr>
          <w:rFonts w:ascii="Times" w:hAnsi="Times"/>
          <w:sz w:val="24"/>
          <w:szCs w:val="24"/>
        </w:rPr>
        <w:t xml:space="preserve">nformed </w:t>
      </w:r>
      <w:r w:rsidR="0043247C" w:rsidRPr="00424FA4">
        <w:rPr>
          <w:rFonts w:ascii="Times" w:hAnsi="Times"/>
          <w:sz w:val="24"/>
          <w:szCs w:val="24"/>
        </w:rPr>
        <w:t>owner consent for trial (approved by IACUC)</w:t>
      </w:r>
    </w:p>
    <w:p w14:paraId="7A1759CD" w14:textId="5D0D00F2" w:rsidR="0043247C" w:rsidRPr="00826D24" w:rsidRDefault="00302FAF" w:rsidP="00826D24">
      <w:pPr>
        <w:pStyle w:val="ListParagraph"/>
        <w:numPr>
          <w:ilvl w:val="0"/>
          <w:numId w:val="21"/>
        </w:numPr>
        <w:ind w:left="1080"/>
        <w:jc w:val="both"/>
        <w:rPr>
          <w:rFonts w:ascii="Times" w:hAnsi="Times"/>
          <w:sz w:val="24"/>
          <w:szCs w:val="24"/>
        </w:rPr>
      </w:pPr>
      <w:r>
        <w:rPr>
          <w:rFonts w:ascii="Times" w:hAnsi="Times"/>
          <w:sz w:val="24"/>
          <w:szCs w:val="24"/>
        </w:rPr>
        <w:t>D</w:t>
      </w:r>
      <w:r w:rsidRPr="00424FA4">
        <w:rPr>
          <w:rFonts w:ascii="Times" w:hAnsi="Times"/>
          <w:sz w:val="24"/>
          <w:szCs w:val="24"/>
        </w:rPr>
        <w:t xml:space="preserve">ogs </w:t>
      </w:r>
      <w:r w:rsidR="0043247C" w:rsidRPr="00424FA4">
        <w:rPr>
          <w:rFonts w:ascii="Times" w:hAnsi="Times"/>
          <w:sz w:val="24"/>
          <w:szCs w:val="24"/>
        </w:rPr>
        <w:t xml:space="preserve">must undergo full post-mortem examination (necropsy) if they die while on study </w:t>
      </w:r>
    </w:p>
    <w:p w14:paraId="6CDD01AF" w14:textId="77777777" w:rsidR="0043247C" w:rsidRPr="00424FA4" w:rsidRDefault="0043247C" w:rsidP="00B0783D">
      <w:pPr>
        <w:ind w:firstLine="720"/>
        <w:jc w:val="both"/>
        <w:rPr>
          <w:b/>
        </w:rPr>
      </w:pPr>
      <w:r w:rsidRPr="00424FA4">
        <w:rPr>
          <w:b/>
        </w:rPr>
        <w:t>2.2.3 Exclusion Criteria:</w:t>
      </w:r>
    </w:p>
    <w:p w14:paraId="75968C49" w14:textId="6AD190BC"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D</w:t>
      </w:r>
      <w:r w:rsidRPr="00424FA4">
        <w:rPr>
          <w:rFonts w:ascii="Times" w:hAnsi="Times"/>
          <w:sz w:val="24"/>
          <w:szCs w:val="24"/>
        </w:rPr>
        <w:t xml:space="preserve">ogs </w:t>
      </w:r>
      <w:r w:rsidR="0043247C" w:rsidRPr="00424FA4">
        <w:rPr>
          <w:rFonts w:ascii="Times" w:hAnsi="Times"/>
          <w:sz w:val="24"/>
          <w:szCs w:val="24"/>
        </w:rPr>
        <w:t xml:space="preserve">&lt; 25 kg in size </w:t>
      </w:r>
    </w:p>
    <w:p w14:paraId="2B90B426" w14:textId="04AA7E14"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D</w:t>
      </w:r>
      <w:r w:rsidRPr="00424FA4">
        <w:rPr>
          <w:rFonts w:ascii="Times" w:hAnsi="Times"/>
          <w:sz w:val="24"/>
          <w:szCs w:val="24"/>
        </w:rPr>
        <w:t xml:space="preserve">ogs </w:t>
      </w:r>
      <w:r w:rsidR="0043247C" w:rsidRPr="00424FA4">
        <w:rPr>
          <w:rFonts w:ascii="Times" w:hAnsi="Times"/>
          <w:sz w:val="24"/>
          <w:szCs w:val="24"/>
        </w:rPr>
        <w:t>without measurable disease</w:t>
      </w:r>
      <w:r>
        <w:rPr>
          <w:rFonts w:ascii="Times" w:hAnsi="Times"/>
          <w:sz w:val="24"/>
          <w:szCs w:val="24"/>
        </w:rPr>
        <w:t xml:space="preserve"> (appendicular osteosarcoma)</w:t>
      </w:r>
      <w:r w:rsidR="00B5031B">
        <w:rPr>
          <w:rFonts w:ascii="Times" w:hAnsi="Times"/>
          <w:sz w:val="24"/>
          <w:szCs w:val="24"/>
        </w:rPr>
        <w:t xml:space="preserve"> at presentation to the regional COTC site</w:t>
      </w:r>
    </w:p>
    <w:p w14:paraId="695BD15F" w14:textId="3017B905" w:rsidR="0043247C" w:rsidRPr="00424FA4" w:rsidRDefault="0043247C" w:rsidP="0043247C">
      <w:pPr>
        <w:pStyle w:val="ListParagraph"/>
        <w:numPr>
          <w:ilvl w:val="0"/>
          <w:numId w:val="22"/>
        </w:numPr>
        <w:jc w:val="both"/>
        <w:rPr>
          <w:rFonts w:ascii="Times" w:hAnsi="Times"/>
          <w:sz w:val="24"/>
          <w:szCs w:val="24"/>
        </w:rPr>
      </w:pPr>
      <w:r w:rsidRPr="00424FA4">
        <w:rPr>
          <w:rFonts w:ascii="Times" w:hAnsi="Times"/>
          <w:sz w:val="24"/>
          <w:szCs w:val="24"/>
        </w:rPr>
        <w:t>ANY prior therapy for osteosarcoma</w:t>
      </w:r>
      <w:r w:rsidR="00B5031B">
        <w:rPr>
          <w:rFonts w:ascii="Times" w:hAnsi="Times"/>
          <w:sz w:val="24"/>
          <w:szCs w:val="24"/>
        </w:rPr>
        <w:t xml:space="preserve"> (conventional or metronomic chemotherapy, ionizing radiation, bisphosphonates)</w:t>
      </w:r>
    </w:p>
    <w:p w14:paraId="027C12DD" w14:textId="1BB36975"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C</w:t>
      </w:r>
      <w:r w:rsidRPr="00424FA4">
        <w:rPr>
          <w:rFonts w:ascii="Times" w:hAnsi="Times"/>
          <w:sz w:val="24"/>
          <w:szCs w:val="24"/>
        </w:rPr>
        <w:t xml:space="preserve">oncurrent </w:t>
      </w:r>
      <w:r w:rsidR="0043247C" w:rsidRPr="00424FA4">
        <w:rPr>
          <w:rFonts w:ascii="Times" w:hAnsi="Times"/>
          <w:sz w:val="24"/>
          <w:szCs w:val="24"/>
        </w:rPr>
        <w:t xml:space="preserve">medications deemed incongruent with this study. All pre-existing necessary medications should be recorded as concomitant medications.  </w:t>
      </w:r>
    </w:p>
    <w:p w14:paraId="6CEC6A98" w14:textId="4CE17D14"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S</w:t>
      </w:r>
      <w:r w:rsidRPr="00424FA4">
        <w:rPr>
          <w:rFonts w:ascii="Times" w:hAnsi="Times"/>
          <w:sz w:val="24"/>
          <w:szCs w:val="24"/>
        </w:rPr>
        <w:t xml:space="preserve">ignificant </w:t>
      </w:r>
      <w:r w:rsidR="0043247C" w:rsidRPr="00424FA4">
        <w:rPr>
          <w:rFonts w:ascii="Times" w:hAnsi="Times"/>
          <w:sz w:val="24"/>
          <w:szCs w:val="24"/>
        </w:rPr>
        <w:t>co-morbid illness, which includes but is not limited to renal or hepatic failure, history of congestive heart failure or clinical coagulopathy</w:t>
      </w:r>
    </w:p>
    <w:p w14:paraId="44C23FE8" w14:textId="62CD1DF2"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C</w:t>
      </w:r>
      <w:r w:rsidRPr="00424FA4">
        <w:rPr>
          <w:rFonts w:ascii="Times" w:hAnsi="Times"/>
          <w:sz w:val="24"/>
          <w:szCs w:val="24"/>
        </w:rPr>
        <w:t xml:space="preserve">reatinine </w:t>
      </w:r>
      <w:r w:rsidR="0043247C" w:rsidRPr="00424FA4">
        <w:rPr>
          <w:rFonts w:ascii="Times" w:hAnsi="Times"/>
          <w:sz w:val="24"/>
          <w:szCs w:val="24"/>
        </w:rPr>
        <w:t>&gt; 3.0</w:t>
      </w:r>
      <w:r>
        <w:rPr>
          <w:rFonts w:ascii="Times" w:hAnsi="Times"/>
          <w:sz w:val="24"/>
          <w:szCs w:val="24"/>
        </w:rPr>
        <w:t xml:space="preserve"> mg/dL </w:t>
      </w:r>
    </w:p>
    <w:p w14:paraId="6B1A8D68" w14:textId="7202B48A" w:rsidR="0043247C" w:rsidRPr="00424FA4" w:rsidRDefault="00302FAF" w:rsidP="0043247C">
      <w:pPr>
        <w:pStyle w:val="ListParagraph"/>
        <w:numPr>
          <w:ilvl w:val="0"/>
          <w:numId w:val="22"/>
        </w:numPr>
        <w:jc w:val="both"/>
        <w:rPr>
          <w:rFonts w:ascii="Times" w:hAnsi="Times"/>
          <w:sz w:val="24"/>
          <w:szCs w:val="24"/>
        </w:rPr>
      </w:pPr>
      <w:r>
        <w:rPr>
          <w:rFonts w:ascii="Times" w:hAnsi="Times"/>
          <w:sz w:val="24"/>
          <w:szCs w:val="24"/>
        </w:rPr>
        <w:t>B</w:t>
      </w:r>
      <w:r w:rsidRPr="00424FA4">
        <w:rPr>
          <w:rFonts w:ascii="Times" w:hAnsi="Times"/>
          <w:sz w:val="24"/>
          <w:szCs w:val="24"/>
        </w:rPr>
        <w:t xml:space="preserve">ilirubin </w:t>
      </w:r>
      <w:r w:rsidR="0043247C" w:rsidRPr="00424FA4">
        <w:rPr>
          <w:rFonts w:ascii="Times" w:hAnsi="Times"/>
          <w:sz w:val="24"/>
          <w:szCs w:val="24"/>
        </w:rPr>
        <w:t>&gt; 2.0</w:t>
      </w:r>
      <w:r>
        <w:rPr>
          <w:rFonts w:ascii="Times" w:hAnsi="Times"/>
          <w:sz w:val="24"/>
          <w:szCs w:val="24"/>
        </w:rPr>
        <w:t xml:space="preserve"> mg/dL</w:t>
      </w:r>
      <w:r w:rsidR="0043247C" w:rsidRPr="00424FA4">
        <w:rPr>
          <w:rFonts w:ascii="Times" w:hAnsi="Times"/>
          <w:sz w:val="24"/>
          <w:szCs w:val="24"/>
        </w:rPr>
        <w:t xml:space="preserve"> or elevated bile acids</w:t>
      </w:r>
    </w:p>
    <w:p w14:paraId="74AFBEB9" w14:textId="57E0DC16" w:rsidR="0043247C" w:rsidRPr="00424FA4" w:rsidRDefault="0043247C" w:rsidP="0043247C">
      <w:pPr>
        <w:pStyle w:val="ListParagraph"/>
        <w:numPr>
          <w:ilvl w:val="0"/>
          <w:numId w:val="22"/>
        </w:numPr>
        <w:jc w:val="both"/>
        <w:rPr>
          <w:rFonts w:ascii="Times" w:hAnsi="Times"/>
          <w:sz w:val="24"/>
          <w:szCs w:val="24"/>
        </w:rPr>
      </w:pPr>
      <w:r w:rsidRPr="00424FA4">
        <w:rPr>
          <w:rFonts w:ascii="Times" w:hAnsi="Times"/>
          <w:sz w:val="24"/>
          <w:szCs w:val="24"/>
        </w:rPr>
        <w:t>HCT &lt; 25%, platelets &lt; 150,000</w:t>
      </w:r>
      <w:r w:rsidR="00302FAF">
        <w:rPr>
          <w:rFonts w:ascii="Times" w:hAnsi="Times"/>
          <w:sz w:val="24"/>
          <w:szCs w:val="24"/>
        </w:rPr>
        <w:t xml:space="preserve"> cells/</w:t>
      </w:r>
      <w:proofErr w:type="spellStart"/>
      <w:r w:rsidR="00302FAF">
        <w:rPr>
          <w:rFonts w:ascii="Times" w:hAnsi="Times"/>
          <w:sz w:val="24"/>
          <w:szCs w:val="24"/>
        </w:rPr>
        <w:t>ul</w:t>
      </w:r>
      <w:proofErr w:type="spellEnd"/>
    </w:p>
    <w:p w14:paraId="20081A47" w14:textId="20D160D2" w:rsidR="0043247C" w:rsidRPr="00826D24" w:rsidRDefault="00302FAF" w:rsidP="0043247C">
      <w:pPr>
        <w:pStyle w:val="ListParagraph"/>
        <w:numPr>
          <w:ilvl w:val="0"/>
          <w:numId w:val="22"/>
        </w:numPr>
        <w:jc w:val="both"/>
        <w:rPr>
          <w:rFonts w:ascii="Times" w:hAnsi="Times"/>
          <w:sz w:val="24"/>
          <w:szCs w:val="24"/>
        </w:rPr>
      </w:pPr>
      <w:r>
        <w:rPr>
          <w:rFonts w:ascii="Times" w:hAnsi="Times"/>
          <w:sz w:val="24"/>
          <w:szCs w:val="24"/>
        </w:rPr>
        <w:t>A</w:t>
      </w:r>
      <w:r w:rsidRPr="00424FA4">
        <w:rPr>
          <w:rFonts w:ascii="Times" w:hAnsi="Times"/>
          <w:sz w:val="24"/>
          <w:szCs w:val="24"/>
        </w:rPr>
        <w:t xml:space="preserve">ny </w:t>
      </w:r>
      <w:r w:rsidR="0043247C" w:rsidRPr="00424FA4">
        <w:rPr>
          <w:rFonts w:ascii="Times" w:hAnsi="Times"/>
          <w:sz w:val="24"/>
          <w:szCs w:val="24"/>
        </w:rPr>
        <w:t>hematologic/biochemical abnormality</w:t>
      </w:r>
      <w:r w:rsidR="00213E49">
        <w:rPr>
          <w:rFonts w:ascii="Times" w:hAnsi="Times"/>
          <w:sz w:val="24"/>
          <w:szCs w:val="24"/>
        </w:rPr>
        <w:t xml:space="preserve"> &gt; grade 1 (VCOG-CTCAE)</w:t>
      </w:r>
    </w:p>
    <w:p w14:paraId="3F38379F" w14:textId="3FF2CEBF" w:rsidR="007B7726" w:rsidRPr="00EC7320" w:rsidRDefault="007B7726" w:rsidP="007B7726">
      <w:pPr>
        <w:ind w:firstLine="720"/>
        <w:jc w:val="both"/>
      </w:pPr>
      <w:r>
        <w:rPr>
          <w:b/>
        </w:rPr>
        <w:lastRenderedPageBreak/>
        <w:t xml:space="preserve">2.2.4 </w:t>
      </w:r>
      <w:r w:rsidRPr="00EC7320">
        <w:rPr>
          <w:b/>
        </w:rPr>
        <w:t>Patient registration</w:t>
      </w:r>
    </w:p>
    <w:p w14:paraId="6ABAB749" w14:textId="668613E5" w:rsidR="007B7726" w:rsidRPr="00EC7320" w:rsidRDefault="007B7726" w:rsidP="007B7726">
      <w:pPr>
        <w:ind w:left="720"/>
        <w:jc w:val="both"/>
      </w:pPr>
      <w:r w:rsidRPr="00EC7320">
        <w:t xml:space="preserve">Eligibility and Enrollment eCRFs </w:t>
      </w:r>
      <w:r w:rsidRPr="00EC7320" w:rsidDel="00CA146E">
        <w:t>should</w:t>
      </w:r>
      <w:r w:rsidRPr="00EC7320">
        <w:t xml:space="preserve"> be completed for all potentially eligible dogs and sent by email to Christina Mazcko: </w:t>
      </w:r>
      <w:hyperlink r:id="rId9" w:history="1">
        <w:r w:rsidRPr="00EC7320">
          <w:rPr>
            <w:rStyle w:val="Hyperlink"/>
          </w:rPr>
          <w:t>mazckoc@mail.nih.gov</w:t>
        </w:r>
      </w:hyperlink>
      <w:r w:rsidRPr="00EC7320" w:rsidDel="00C141D0">
        <w:t xml:space="preserve">. </w:t>
      </w:r>
      <w:r w:rsidRPr="00EC7320">
        <w:t xml:space="preserve">The signed informed consent form should be faxed to Christina Mazcko (301) 480-7328 at time of enrollment.  </w:t>
      </w:r>
      <w:r w:rsidR="00213E49">
        <w:t>Upon confirmed enrollment,</w:t>
      </w:r>
      <w:r w:rsidRPr="00EC7320">
        <w:t xml:space="preserve"> a time line for study drug shipping will be arranged.  </w:t>
      </w:r>
      <w:r w:rsidRPr="00EC7320" w:rsidDel="00CA146E">
        <w:t>C3D enrollment eCRF completion is required before a trial package may be sent.</w:t>
      </w:r>
      <w:r w:rsidRPr="00EC7320">
        <w:t xml:space="preserve">  Once confirmation of a patient’s enrollment is made, the COTC site research team can enter C3D and complete the Screening eCRFS. All Screening eCRFS must be complete prior to the first treatment administration. </w:t>
      </w:r>
    </w:p>
    <w:p w14:paraId="22E05BB8" w14:textId="77777777" w:rsidR="0043247C" w:rsidRPr="00EC7320" w:rsidRDefault="0043247C" w:rsidP="0043247C">
      <w:pPr>
        <w:jc w:val="both"/>
        <w:rPr>
          <w:color w:val="000000"/>
        </w:rPr>
      </w:pPr>
    </w:p>
    <w:p w14:paraId="142B6249" w14:textId="77777777" w:rsidR="0043247C" w:rsidRPr="00EC7320" w:rsidRDefault="0043247C" w:rsidP="0043247C">
      <w:pPr>
        <w:jc w:val="both"/>
        <w:rPr>
          <w:b/>
        </w:rPr>
      </w:pPr>
    </w:p>
    <w:p w14:paraId="457F0F97" w14:textId="77777777" w:rsidR="0043247C" w:rsidRPr="00EC7320" w:rsidRDefault="0043247C" w:rsidP="0043247C">
      <w:pPr>
        <w:jc w:val="both"/>
        <w:rPr>
          <w:bCs/>
          <w:color w:val="000000"/>
        </w:rPr>
      </w:pPr>
    </w:p>
    <w:p w14:paraId="3685F63D" w14:textId="77777777" w:rsidR="0043247C" w:rsidRDefault="0043247C" w:rsidP="0043247C">
      <w:pPr>
        <w:jc w:val="both"/>
        <w:rPr>
          <w:color w:val="000000"/>
        </w:rPr>
      </w:pPr>
    </w:p>
    <w:p w14:paraId="399AA036" w14:textId="77777777" w:rsidR="00B0783D" w:rsidRDefault="00B0783D" w:rsidP="0043247C">
      <w:pPr>
        <w:jc w:val="both"/>
        <w:rPr>
          <w:color w:val="000000"/>
        </w:rPr>
      </w:pPr>
    </w:p>
    <w:p w14:paraId="7C00FF9F" w14:textId="77777777" w:rsidR="00B0783D" w:rsidRDefault="00B0783D" w:rsidP="0043247C">
      <w:pPr>
        <w:jc w:val="both"/>
        <w:rPr>
          <w:color w:val="000000"/>
        </w:rPr>
      </w:pPr>
    </w:p>
    <w:p w14:paraId="4D5B65F4" w14:textId="77777777" w:rsidR="00B0783D" w:rsidRDefault="00B0783D" w:rsidP="0043247C">
      <w:pPr>
        <w:jc w:val="both"/>
        <w:rPr>
          <w:color w:val="000000"/>
        </w:rPr>
      </w:pPr>
    </w:p>
    <w:p w14:paraId="466330C2" w14:textId="77777777" w:rsidR="00B0783D" w:rsidRDefault="00B0783D" w:rsidP="0043247C">
      <w:pPr>
        <w:jc w:val="both"/>
        <w:rPr>
          <w:color w:val="000000"/>
        </w:rPr>
      </w:pPr>
    </w:p>
    <w:p w14:paraId="66526AA0" w14:textId="77777777" w:rsidR="00B0783D" w:rsidRDefault="00B0783D" w:rsidP="0043247C">
      <w:pPr>
        <w:jc w:val="both"/>
        <w:rPr>
          <w:color w:val="000000"/>
        </w:rPr>
      </w:pPr>
    </w:p>
    <w:p w14:paraId="02D16867" w14:textId="77777777" w:rsidR="00B0783D" w:rsidRDefault="00B0783D" w:rsidP="0043247C">
      <w:pPr>
        <w:jc w:val="both"/>
        <w:rPr>
          <w:color w:val="000000"/>
        </w:rPr>
      </w:pPr>
    </w:p>
    <w:p w14:paraId="369ED697" w14:textId="77777777" w:rsidR="00B0783D" w:rsidRDefault="00B0783D" w:rsidP="0043247C">
      <w:pPr>
        <w:jc w:val="both"/>
        <w:rPr>
          <w:color w:val="000000"/>
        </w:rPr>
      </w:pPr>
    </w:p>
    <w:p w14:paraId="4A46B533" w14:textId="77777777" w:rsidR="00B0783D" w:rsidRDefault="00B0783D" w:rsidP="0043247C">
      <w:pPr>
        <w:jc w:val="both"/>
        <w:rPr>
          <w:color w:val="000000"/>
        </w:rPr>
      </w:pPr>
    </w:p>
    <w:p w14:paraId="15A232DB" w14:textId="77777777" w:rsidR="00B0783D" w:rsidRPr="00EC7320" w:rsidRDefault="00B0783D" w:rsidP="0043247C">
      <w:pPr>
        <w:jc w:val="both"/>
        <w:rPr>
          <w:color w:val="000000"/>
        </w:rPr>
      </w:pPr>
    </w:p>
    <w:p w14:paraId="4C444898" w14:textId="73CE59E2" w:rsidR="0043247C" w:rsidRDefault="00CD1E6A" w:rsidP="0043247C">
      <w:pPr>
        <w:jc w:val="both"/>
        <w:rPr>
          <w:b/>
        </w:rPr>
      </w:pPr>
      <w:proofErr w:type="gramStart"/>
      <w:r>
        <w:rPr>
          <w:b/>
        </w:rPr>
        <w:t xml:space="preserve">3.0 </w:t>
      </w:r>
      <w:r w:rsidR="0043247C" w:rsidRPr="00EC7320">
        <w:rPr>
          <w:b/>
        </w:rPr>
        <w:t xml:space="preserve"> </w:t>
      </w:r>
      <w:r w:rsidR="00B0783D">
        <w:rPr>
          <w:b/>
        </w:rPr>
        <w:t>Patient</w:t>
      </w:r>
      <w:proofErr w:type="gramEnd"/>
      <w:r w:rsidR="00B0783D">
        <w:rPr>
          <w:b/>
        </w:rPr>
        <w:t xml:space="preserve"> Procedures for Standard of Care</w:t>
      </w:r>
      <w:r w:rsidR="0043247C" w:rsidRPr="00EC7320">
        <w:rPr>
          <w:b/>
        </w:rPr>
        <w:t xml:space="preserve"> </w:t>
      </w:r>
    </w:p>
    <w:p w14:paraId="3618FAF0" w14:textId="77777777" w:rsidR="00B0783D" w:rsidRDefault="00B0783D" w:rsidP="0043247C">
      <w:pPr>
        <w:jc w:val="both"/>
        <w:rPr>
          <w:b/>
        </w:rPr>
      </w:pPr>
    </w:p>
    <w:p w14:paraId="298E25C5" w14:textId="255EF100" w:rsidR="00B0783D" w:rsidRPr="00EC7320" w:rsidRDefault="00CD1E6A" w:rsidP="00B0783D">
      <w:pPr>
        <w:ind w:firstLine="720"/>
        <w:jc w:val="both"/>
        <w:rPr>
          <w:b/>
        </w:rPr>
      </w:pPr>
      <w:r>
        <w:rPr>
          <w:b/>
        </w:rPr>
        <w:t>3.1</w:t>
      </w:r>
      <w:r w:rsidR="00B0783D">
        <w:rPr>
          <w:b/>
        </w:rPr>
        <w:t xml:space="preserve"> </w:t>
      </w:r>
      <w:r w:rsidR="00B0783D" w:rsidRPr="00EC7320">
        <w:rPr>
          <w:b/>
        </w:rPr>
        <w:t>Study Schedule</w:t>
      </w:r>
    </w:p>
    <w:p w14:paraId="4D4BC684" w14:textId="77777777" w:rsidR="00B0783D" w:rsidRPr="00EC7320" w:rsidRDefault="00B0783D" w:rsidP="00B0783D">
      <w:pPr>
        <w:ind w:firstLine="720"/>
        <w:jc w:val="both"/>
      </w:pPr>
      <w:r w:rsidRPr="00EC7320">
        <w:t xml:space="preserve">An overview of the study schedule is provided in Table I </w:t>
      </w:r>
    </w:p>
    <w:p w14:paraId="6F0B8886" w14:textId="77777777" w:rsidR="00B0783D" w:rsidRPr="00EC7320" w:rsidRDefault="00B0783D" w:rsidP="00B0783D">
      <w:pPr>
        <w:jc w:val="both"/>
      </w:pPr>
    </w:p>
    <w:p w14:paraId="28815CF7" w14:textId="77777777" w:rsidR="00B0783D" w:rsidRPr="00EC7320" w:rsidRDefault="00B0783D" w:rsidP="00B0783D">
      <w:pPr>
        <w:ind w:firstLine="720"/>
        <w:jc w:val="both"/>
        <w:rPr>
          <w:color w:val="000000"/>
        </w:rPr>
      </w:pPr>
      <w:r w:rsidRPr="00EC7320">
        <w:t>T</w:t>
      </w:r>
      <w:r w:rsidRPr="00EC7320">
        <w:rPr>
          <w:color w:val="000000"/>
        </w:rPr>
        <w:t xml:space="preserve">able I: Study Schedule: </w:t>
      </w:r>
      <w:r>
        <w:rPr>
          <w:color w:val="000000"/>
        </w:rPr>
        <w:t>Standard of Care Week 1-15</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260"/>
        <w:gridCol w:w="1080"/>
        <w:gridCol w:w="1080"/>
        <w:gridCol w:w="990"/>
        <w:gridCol w:w="990"/>
        <w:gridCol w:w="900"/>
        <w:gridCol w:w="1170"/>
      </w:tblGrid>
      <w:tr w:rsidR="00B0783D" w:rsidRPr="00EC7320" w14:paraId="5E4C0DDD" w14:textId="77777777" w:rsidTr="00826D24">
        <w:trPr>
          <w:trHeight w:val="1117"/>
        </w:trPr>
        <w:tc>
          <w:tcPr>
            <w:tcW w:w="3060" w:type="dxa"/>
            <w:shd w:val="clear" w:color="auto" w:fill="C0C0C0"/>
          </w:tcPr>
          <w:p w14:paraId="05D832F2" w14:textId="77777777" w:rsidR="00B0783D" w:rsidRPr="00EC7320" w:rsidRDefault="00B0783D" w:rsidP="00B0783D">
            <w:pPr>
              <w:jc w:val="both"/>
              <w:rPr>
                <w:b/>
              </w:rPr>
            </w:pPr>
            <w:r w:rsidRPr="00EC7320">
              <w:t>Action</w:t>
            </w:r>
          </w:p>
          <w:p w14:paraId="52271EC4" w14:textId="77777777" w:rsidR="00B0783D" w:rsidRPr="00EC7320" w:rsidRDefault="00B0783D" w:rsidP="00B0783D">
            <w:pPr>
              <w:jc w:val="both"/>
            </w:pPr>
          </w:p>
        </w:tc>
        <w:tc>
          <w:tcPr>
            <w:tcW w:w="1260" w:type="dxa"/>
            <w:shd w:val="clear" w:color="auto" w:fill="C0C0C0"/>
          </w:tcPr>
          <w:p w14:paraId="41D42F87" w14:textId="77777777" w:rsidR="00B0783D" w:rsidRPr="00EC7320" w:rsidRDefault="00B0783D" w:rsidP="00B0783D">
            <w:pPr>
              <w:jc w:val="both"/>
              <w:rPr>
                <w:b/>
              </w:rPr>
            </w:pPr>
            <w:r w:rsidRPr="00EC7320">
              <w:rPr>
                <w:b/>
              </w:rPr>
              <w:t>Eligibility</w:t>
            </w:r>
          </w:p>
          <w:p w14:paraId="04301E38" w14:textId="40B61DF2" w:rsidR="00B0783D" w:rsidRPr="00EC7320" w:rsidRDefault="00213E49" w:rsidP="00B0783D">
            <w:pPr>
              <w:jc w:val="both"/>
              <w:rPr>
                <w:b/>
              </w:rPr>
            </w:pPr>
            <m:oMath>
              <m:r>
                <m:rPr>
                  <m:sty m:val="bi"/>
                </m:rPr>
                <w:rPr>
                  <w:rFonts w:ascii="Cambria Math" w:hAnsi="Cambria Math"/>
                </w:rPr>
                <m:t>≤</m:t>
              </m:r>
            </m:oMath>
            <w:r w:rsidR="00B0783D" w:rsidRPr="00EC7320">
              <w:rPr>
                <w:b/>
              </w:rPr>
              <w:t>7 days pre-operative</w:t>
            </w:r>
          </w:p>
        </w:tc>
        <w:tc>
          <w:tcPr>
            <w:tcW w:w="1080" w:type="dxa"/>
            <w:shd w:val="clear" w:color="auto" w:fill="C0C0C0"/>
          </w:tcPr>
          <w:p w14:paraId="45040B75" w14:textId="77777777" w:rsidR="00B0783D" w:rsidRPr="00EC7320" w:rsidRDefault="00B0783D" w:rsidP="00B0783D">
            <w:pPr>
              <w:jc w:val="both"/>
              <w:rPr>
                <w:b/>
              </w:rPr>
            </w:pPr>
            <w:r w:rsidRPr="00EC7320">
              <w:rPr>
                <w:b/>
              </w:rPr>
              <w:t>Week 1</w:t>
            </w:r>
          </w:p>
        </w:tc>
        <w:tc>
          <w:tcPr>
            <w:tcW w:w="1080" w:type="dxa"/>
            <w:shd w:val="clear" w:color="auto" w:fill="C0C0C0"/>
          </w:tcPr>
          <w:p w14:paraId="47385B6C" w14:textId="77777777" w:rsidR="00B0783D" w:rsidRPr="00EC7320" w:rsidRDefault="00B0783D" w:rsidP="00B0783D">
            <w:pPr>
              <w:jc w:val="both"/>
              <w:rPr>
                <w:b/>
              </w:rPr>
            </w:pPr>
            <w:r w:rsidRPr="00EC7320">
              <w:rPr>
                <w:b/>
              </w:rPr>
              <w:t>Week 3</w:t>
            </w:r>
          </w:p>
        </w:tc>
        <w:tc>
          <w:tcPr>
            <w:tcW w:w="990" w:type="dxa"/>
            <w:shd w:val="clear" w:color="auto" w:fill="C0C0C0"/>
          </w:tcPr>
          <w:p w14:paraId="581828DB" w14:textId="77777777" w:rsidR="00B0783D" w:rsidRPr="00EC7320" w:rsidRDefault="00B0783D" w:rsidP="00B0783D">
            <w:pPr>
              <w:jc w:val="both"/>
              <w:rPr>
                <w:b/>
              </w:rPr>
            </w:pPr>
            <w:r w:rsidRPr="00EC7320">
              <w:rPr>
                <w:b/>
              </w:rPr>
              <w:t>Week 6</w:t>
            </w:r>
          </w:p>
        </w:tc>
        <w:tc>
          <w:tcPr>
            <w:tcW w:w="990" w:type="dxa"/>
            <w:shd w:val="clear" w:color="auto" w:fill="C0C0C0"/>
          </w:tcPr>
          <w:p w14:paraId="31E4459B" w14:textId="77777777" w:rsidR="00B0783D" w:rsidRPr="00EC7320" w:rsidRDefault="00B0783D" w:rsidP="00B0783D">
            <w:pPr>
              <w:jc w:val="both"/>
              <w:rPr>
                <w:b/>
              </w:rPr>
            </w:pPr>
            <w:r w:rsidRPr="00EC7320">
              <w:rPr>
                <w:b/>
              </w:rPr>
              <w:t>Week 9</w:t>
            </w:r>
          </w:p>
        </w:tc>
        <w:tc>
          <w:tcPr>
            <w:tcW w:w="900" w:type="dxa"/>
            <w:shd w:val="clear" w:color="auto" w:fill="C0C0C0"/>
          </w:tcPr>
          <w:p w14:paraId="1D4F224E" w14:textId="77777777" w:rsidR="00B0783D" w:rsidRPr="00EC7320" w:rsidRDefault="00B0783D" w:rsidP="00B0783D">
            <w:pPr>
              <w:jc w:val="both"/>
              <w:rPr>
                <w:b/>
              </w:rPr>
            </w:pPr>
            <w:r w:rsidRPr="00EC7320">
              <w:rPr>
                <w:b/>
              </w:rPr>
              <w:t>Week 12</w:t>
            </w:r>
          </w:p>
        </w:tc>
        <w:tc>
          <w:tcPr>
            <w:tcW w:w="1170" w:type="dxa"/>
            <w:shd w:val="clear" w:color="auto" w:fill="C0C0C0"/>
          </w:tcPr>
          <w:p w14:paraId="7FE3B963" w14:textId="42ACAF14" w:rsidR="00B0783D" w:rsidRPr="00EC7320" w:rsidRDefault="00B0783D" w:rsidP="000A7E0D">
            <w:pPr>
              <w:jc w:val="both"/>
              <w:rPr>
                <w:b/>
              </w:rPr>
            </w:pPr>
            <w:r w:rsidRPr="00EC7320">
              <w:rPr>
                <w:b/>
              </w:rPr>
              <w:t>Week 15</w:t>
            </w:r>
            <w:r w:rsidR="000A7E0D" w:rsidRPr="000A7E0D">
              <w:rPr>
                <w:b/>
                <w:vertAlign w:val="superscript"/>
              </w:rPr>
              <w:t>1</w:t>
            </w:r>
            <w:r w:rsidR="000A7E0D">
              <w:rPr>
                <w:b/>
              </w:rPr>
              <w:t xml:space="preserve"> </w:t>
            </w:r>
            <w:r w:rsidRPr="000A7E0D">
              <w:rPr>
                <w:b/>
                <w:sz w:val="20"/>
                <w:szCs w:val="20"/>
              </w:rPr>
              <w:t>start rapamycin therapy</w:t>
            </w:r>
          </w:p>
        </w:tc>
      </w:tr>
      <w:tr w:rsidR="00B0783D" w:rsidRPr="00EC7320" w14:paraId="713FF795" w14:textId="77777777" w:rsidTr="00826D24">
        <w:trPr>
          <w:trHeight w:val="292"/>
        </w:trPr>
        <w:tc>
          <w:tcPr>
            <w:tcW w:w="3060" w:type="dxa"/>
          </w:tcPr>
          <w:p w14:paraId="26BCBDB7" w14:textId="77777777" w:rsidR="00B0783D" w:rsidRPr="00EC7320" w:rsidRDefault="00B0783D" w:rsidP="00B0783D">
            <w:pPr>
              <w:jc w:val="both"/>
            </w:pPr>
            <w:r w:rsidRPr="00EC7320">
              <w:t>Patient Eligibility</w:t>
            </w:r>
          </w:p>
        </w:tc>
        <w:tc>
          <w:tcPr>
            <w:tcW w:w="1260" w:type="dxa"/>
          </w:tcPr>
          <w:p w14:paraId="31C6D492" w14:textId="77777777" w:rsidR="00B0783D" w:rsidRPr="00EC7320" w:rsidRDefault="00B0783D" w:rsidP="00B0783D">
            <w:pPr>
              <w:jc w:val="both"/>
            </w:pPr>
            <w:r w:rsidRPr="00EC7320">
              <w:t>X</w:t>
            </w:r>
          </w:p>
        </w:tc>
        <w:tc>
          <w:tcPr>
            <w:tcW w:w="1080" w:type="dxa"/>
          </w:tcPr>
          <w:p w14:paraId="33D5BCA2" w14:textId="77777777" w:rsidR="00B0783D" w:rsidRPr="00EC7320" w:rsidRDefault="00B0783D" w:rsidP="00B0783D">
            <w:pPr>
              <w:jc w:val="both"/>
            </w:pPr>
          </w:p>
        </w:tc>
        <w:tc>
          <w:tcPr>
            <w:tcW w:w="1080" w:type="dxa"/>
          </w:tcPr>
          <w:p w14:paraId="29B2534B" w14:textId="77777777" w:rsidR="00B0783D" w:rsidRPr="00EC7320" w:rsidRDefault="00B0783D" w:rsidP="00B0783D">
            <w:pPr>
              <w:jc w:val="both"/>
            </w:pPr>
          </w:p>
        </w:tc>
        <w:tc>
          <w:tcPr>
            <w:tcW w:w="990" w:type="dxa"/>
          </w:tcPr>
          <w:p w14:paraId="39321FD1" w14:textId="77777777" w:rsidR="00B0783D" w:rsidRPr="00EC7320" w:rsidRDefault="00B0783D" w:rsidP="00B0783D">
            <w:pPr>
              <w:jc w:val="both"/>
            </w:pPr>
          </w:p>
        </w:tc>
        <w:tc>
          <w:tcPr>
            <w:tcW w:w="990" w:type="dxa"/>
          </w:tcPr>
          <w:p w14:paraId="52FB57E9" w14:textId="77777777" w:rsidR="00B0783D" w:rsidRPr="00EC7320" w:rsidRDefault="00B0783D" w:rsidP="00B0783D">
            <w:pPr>
              <w:jc w:val="both"/>
            </w:pPr>
          </w:p>
        </w:tc>
        <w:tc>
          <w:tcPr>
            <w:tcW w:w="900" w:type="dxa"/>
          </w:tcPr>
          <w:p w14:paraId="0F686E53" w14:textId="77777777" w:rsidR="00B0783D" w:rsidRPr="00EC7320" w:rsidRDefault="00B0783D" w:rsidP="00B0783D">
            <w:pPr>
              <w:jc w:val="both"/>
            </w:pPr>
          </w:p>
        </w:tc>
        <w:tc>
          <w:tcPr>
            <w:tcW w:w="1170" w:type="dxa"/>
          </w:tcPr>
          <w:p w14:paraId="345D101D" w14:textId="77777777" w:rsidR="00B0783D" w:rsidRPr="00EC7320" w:rsidRDefault="00B0783D" w:rsidP="00B0783D">
            <w:pPr>
              <w:jc w:val="both"/>
            </w:pPr>
          </w:p>
        </w:tc>
      </w:tr>
      <w:tr w:rsidR="00B0783D" w:rsidRPr="00EC7320" w:rsidDel="00C158B0" w14:paraId="2BD74B3D" w14:textId="77777777" w:rsidTr="00826D24">
        <w:trPr>
          <w:trHeight w:val="292"/>
        </w:trPr>
        <w:tc>
          <w:tcPr>
            <w:tcW w:w="3060" w:type="dxa"/>
          </w:tcPr>
          <w:p w14:paraId="3E0A012C" w14:textId="77777777" w:rsidR="00B0783D" w:rsidRPr="00EC7320" w:rsidRDefault="00B0783D" w:rsidP="00B0783D">
            <w:pPr>
              <w:jc w:val="both"/>
            </w:pPr>
            <w:r w:rsidRPr="00EC7320">
              <w:t>Physical Exam</w:t>
            </w:r>
          </w:p>
        </w:tc>
        <w:tc>
          <w:tcPr>
            <w:tcW w:w="1260" w:type="dxa"/>
          </w:tcPr>
          <w:p w14:paraId="20DBBA25" w14:textId="70DBD0F9" w:rsidR="00B0783D" w:rsidRPr="00EC7320" w:rsidRDefault="009368A3" w:rsidP="00B0783D">
            <w:pPr>
              <w:jc w:val="both"/>
            </w:pPr>
            <w:r>
              <w:t>X</w:t>
            </w:r>
          </w:p>
        </w:tc>
        <w:tc>
          <w:tcPr>
            <w:tcW w:w="1080" w:type="dxa"/>
          </w:tcPr>
          <w:p w14:paraId="2880EA05" w14:textId="77777777" w:rsidR="00B0783D" w:rsidRPr="00EC7320" w:rsidDel="00C158B0" w:rsidRDefault="00B0783D" w:rsidP="00B0783D">
            <w:pPr>
              <w:jc w:val="both"/>
            </w:pPr>
            <w:r w:rsidRPr="00EC7320">
              <w:t>X</w:t>
            </w:r>
          </w:p>
        </w:tc>
        <w:tc>
          <w:tcPr>
            <w:tcW w:w="1080" w:type="dxa"/>
          </w:tcPr>
          <w:p w14:paraId="749E8DB7" w14:textId="77777777" w:rsidR="00B0783D" w:rsidRPr="00EC7320" w:rsidRDefault="00B0783D" w:rsidP="00B0783D">
            <w:pPr>
              <w:jc w:val="both"/>
            </w:pPr>
            <w:r w:rsidRPr="00EC7320">
              <w:t>X</w:t>
            </w:r>
          </w:p>
        </w:tc>
        <w:tc>
          <w:tcPr>
            <w:tcW w:w="990" w:type="dxa"/>
          </w:tcPr>
          <w:p w14:paraId="01AFA5C3" w14:textId="77777777" w:rsidR="00B0783D" w:rsidRPr="00EC7320" w:rsidRDefault="00B0783D" w:rsidP="00B0783D">
            <w:pPr>
              <w:jc w:val="both"/>
            </w:pPr>
            <w:r w:rsidRPr="00EC7320">
              <w:t>X</w:t>
            </w:r>
          </w:p>
        </w:tc>
        <w:tc>
          <w:tcPr>
            <w:tcW w:w="990" w:type="dxa"/>
          </w:tcPr>
          <w:p w14:paraId="4A76DC1E" w14:textId="77777777" w:rsidR="00B0783D" w:rsidRPr="00EC7320" w:rsidRDefault="00B0783D" w:rsidP="00B0783D">
            <w:pPr>
              <w:jc w:val="both"/>
            </w:pPr>
            <w:r w:rsidRPr="00EC7320">
              <w:t>X</w:t>
            </w:r>
          </w:p>
        </w:tc>
        <w:tc>
          <w:tcPr>
            <w:tcW w:w="900" w:type="dxa"/>
          </w:tcPr>
          <w:p w14:paraId="4CE7402B" w14:textId="77777777" w:rsidR="00B0783D" w:rsidRPr="00EC7320" w:rsidDel="00C158B0" w:rsidRDefault="00B0783D" w:rsidP="00B0783D">
            <w:pPr>
              <w:jc w:val="both"/>
            </w:pPr>
            <w:r w:rsidRPr="00EC7320">
              <w:t>X</w:t>
            </w:r>
          </w:p>
        </w:tc>
        <w:tc>
          <w:tcPr>
            <w:tcW w:w="1170" w:type="dxa"/>
          </w:tcPr>
          <w:p w14:paraId="5E959739" w14:textId="77777777" w:rsidR="00B0783D" w:rsidRPr="00EC7320" w:rsidRDefault="00B0783D" w:rsidP="00B0783D">
            <w:pPr>
              <w:jc w:val="both"/>
            </w:pPr>
            <w:r w:rsidRPr="00EC7320">
              <w:t>X</w:t>
            </w:r>
          </w:p>
        </w:tc>
      </w:tr>
      <w:tr w:rsidR="00B0783D" w:rsidRPr="00EC7320" w14:paraId="48FFB639" w14:textId="77777777" w:rsidTr="00826D24">
        <w:trPr>
          <w:trHeight w:val="431"/>
        </w:trPr>
        <w:tc>
          <w:tcPr>
            <w:tcW w:w="3060" w:type="dxa"/>
          </w:tcPr>
          <w:p w14:paraId="7D6E1B5A" w14:textId="77777777" w:rsidR="00B0783D" w:rsidRPr="00EC7320" w:rsidRDefault="00B0783D" w:rsidP="00B0783D">
            <w:pPr>
              <w:jc w:val="both"/>
            </w:pPr>
            <w:r w:rsidRPr="00EC7320">
              <w:t>Surgery</w:t>
            </w:r>
          </w:p>
        </w:tc>
        <w:tc>
          <w:tcPr>
            <w:tcW w:w="1260" w:type="dxa"/>
          </w:tcPr>
          <w:p w14:paraId="041C54BE" w14:textId="77777777" w:rsidR="00B0783D" w:rsidRPr="00EC7320" w:rsidRDefault="00B0783D" w:rsidP="00B0783D">
            <w:pPr>
              <w:jc w:val="both"/>
            </w:pPr>
          </w:p>
        </w:tc>
        <w:tc>
          <w:tcPr>
            <w:tcW w:w="1080" w:type="dxa"/>
            <w:vAlign w:val="center"/>
          </w:tcPr>
          <w:p w14:paraId="4DEBB90A" w14:textId="77777777" w:rsidR="00B0783D" w:rsidRPr="00EC7320" w:rsidRDefault="00B0783D" w:rsidP="00B0783D">
            <w:pPr>
              <w:jc w:val="both"/>
            </w:pPr>
            <w:r w:rsidRPr="00EC7320">
              <w:t>X</w:t>
            </w:r>
          </w:p>
        </w:tc>
        <w:tc>
          <w:tcPr>
            <w:tcW w:w="1080" w:type="dxa"/>
            <w:vAlign w:val="center"/>
          </w:tcPr>
          <w:p w14:paraId="6726A16D" w14:textId="77777777" w:rsidR="00B0783D" w:rsidRPr="00EC7320" w:rsidRDefault="00B0783D" w:rsidP="00B0783D">
            <w:pPr>
              <w:jc w:val="both"/>
            </w:pPr>
          </w:p>
        </w:tc>
        <w:tc>
          <w:tcPr>
            <w:tcW w:w="990" w:type="dxa"/>
            <w:vAlign w:val="center"/>
          </w:tcPr>
          <w:p w14:paraId="500BC8E9" w14:textId="77777777" w:rsidR="00B0783D" w:rsidRPr="00EC7320" w:rsidRDefault="00B0783D" w:rsidP="00B0783D">
            <w:pPr>
              <w:jc w:val="both"/>
            </w:pPr>
          </w:p>
        </w:tc>
        <w:tc>
          <w:tcPr>
            <w:tcW w:w="990" w:type="dxa"/>
            <w:vAlign w:val="center"/>
          </w:tcPr>
          <w:p w14:paraId="6F276537" w14:textId="77777777" w:rsidR="00B0783D" w:rsidRPr="00EC7320" w:rsidRDefault="00B0783D" w:rsidP="00B0783D">
            <w:pPr>
              <w:jc w:val="both"/>
            </w:pPr>
          </w:p>
        </w:tc>
        <w:tc>
          <w:tcPr>
            <w:tcW w:w="900" w:type="dxa"/>
            <w:vAlign w:val="center"/>
          </w:tcPr>
          <w:p w14:paraId="5562CF43" w14:textId="77777777" w:rsidR="00B0783D" w:rsidRPr="00EC7320" w:rsidDel="00C158B0" w:rsidRDefault="00B0783D" w:rsidP="00B0783D">
            <w:pPr>
              <w:jc w:val="both"/>
            </w:pPr>
          </w:p>
        </w:tc>
        <w:tc>
          <w:tcPr>
            <w:tcW w:w="1170" w:type="dxa"/>
          </w:tcPr>
          <w:p w14:paraId="4AB626EA" w14:textId="77777777" w:rsidR="00B0783D" w:rsidRPr="00EC7320" w:rsidRDefault="00B0783D" w:rsidP="00B0783D">
            <w:pPr>
              <w:jc w:val="both"/>
            </w:pPr>
          </w:p>
        </w:tc>
      </w:tr>
      <w:tr w:rsidR="00B0783D" w:rsidRPr="00EC7320" w14:paraId="26C279FF" w14:textId="77777777" w:rsidTr="00826D24">
        <w:trPr>
          <w:trHeight w:val="292"/>
        </w:trPr>
        <w:tc>
          <w:tcPr>
            <w:tcW w:w="3060" w:type="dxa"/>
          </w:tcPr>
          <w:p w14:paraId="14FE9309" w14:textId="77777777" w:rsidR="00B0783D" w:rsidRPr="00EC7320" w:rsidRDefault="00B0783D" w:rsidP="00B0783D">
            <w:pPr>
              <w:jc w:val="both"/>
            </w:pPr>
            <w:r w:rsidRPr="00EC7320">
              <w:t>Chest radiographs</w:t>
            </w:r>
          </w:p>
        </w:tc>
        <w:tc>
          <w:tcPr>
            <w:tcW w:w="1260" w:type="dxa"/>
          </w:tcPr>
          <w:p w14:paraId="055B6A15" w14:textId="34CD6FD0" w:rsidR="00B0783D" w:rsidRPr="00EC7320" w:rsidRDefault="009C486A" w:rsidP="00B0783D">
            <w:pPr>
              <w:jc w:val="both"/>
            </w:pPr>
            <w:r>
              <w:t>X</w:t>
            </w:r>
          </w:p>
        </w:tc>
        <w:tc>
          <w:tcPr>
            <w:tcW w:w="1080" w:type="dxa"/>
          </w:tcPr>
          <w:p w14:paraId="1F0168BE" w14:textId="25A79A04" w:rsidR="00B0783D" w:rsidRPr="00EC7320" w:rsidRDefault="00B0783D" w:rsidP="00B0783D">
            <w:pPr>
              <w:jc w:val="both"/>
            </w:pPr>
          </w:p>
        </w:tc>
        <w:tc>
          <w:tcPr>
            <w:tcW w:w="1080" w:type="dxa"/>
          </w:tcPr>
          <w:p w14:paraId="141C14F2" w14:textId="77777777" w:rsidR="00B0783D" w:rsidRPr="00EC7320" w:rsidRDefault="00B0783D" w:rsidP="00B0783D">
            <w:pPr>
              <w:jc w:val="both"/>
            </w:pPr>
          </w:p>
        </w:tc>
        <w:tc>
          <w:tcPr>
            <w:tcW w:w="990" w:type="dxa"/>
          </w:tcPr>
          <w:p w14:paraId="145C4C2D" w14:textId="77777777" w:rsidR="00B0783D" w:rsidRPr="00EC7320" w:rsidRDefault="00B0783D" w:rsidP="00B0783D">
            <w:pPr>
              <w:jc w:val="both"/>
            </w:pPr>
          </w:p>
        </w:tc>
        <w:tc>
          <w:tcPr>
            <w:tcW w:w="990" w:type="dxa"/>
          </w:tcPr>
          <w:p w14:paraId="33E32008" w14:textId="77777777" w:rsidR="00B0783D" w:rsidRPr="00EC7320" w:rsidRDefault="00B0783D" w:rsidP="00B0783D">
            <w:pPr>
              <w:jc w:val="both"/>
            </w:pPr>
            <w:r w:rsidRPr="00EC7320">
              <w:t>X</w:t>
            </w:r>
          </w:p>
        </w:tc>
        <w:tc>
          <w:tcPr>
            <w:tcW w:w="900" w:type="dxa"/>
          </w:tcPr>
          <w:p w14:paraId="2B50A9E6" w14:textId="77777777" w:rsidR="00B0783D" w:rsidRPr="00EC7320" w:rsidDel="00C158B0" w:rsidRDefault="00B0783D" w:rsidP="00B0783D">
            <w:pPr>
              <w:jc w:val="both"/>
            </w:pPr>
          </w:p>
        </w:tc>
        <w:tc>
          <w:tcPr>
            <w:tcW w:w="1170" w:type="dxa"/>
          </w:tcPr>
          <w:p w14:paraId="5092B1F9" w14:textId="77777777" w:rsidR="00B0783D" w:rsidRPr="00EC7320" w:rsidRDefault="00B0783D" w:rsidP="00B0783D">
            <w:pPr>
              <w:jc w:val="both"/>
            </w:pPr>
            <w:r w:rsidRPr="00EC7320">
              <w:t>X</w:t>
            </w:r>
          </w:p>
        </w:tc>
      </w:tr>
      <w:tr w:rsidR="00B0783D" w:rsidRPr="00EC7320" w14:paraId="221475FA" w14:textId="77777777" w:rsidTr="00826D24">
        <w:trPr>
          <w:trHeight w:val="292"/>
        </w:trPr>
        <w:tc>
          <w:tcPr>
            <w:tcW w:w="3060" w:type="dxa"/>
          </w:tcPr>
          <w:p w14:paraId="0DCEEBA1" w14:textId="77777777" w:rsidR="00B0783D" w:rsidRPr="00EC7320" w:rsidRDefault="00B0783D" w:rsidP="00B0783D">
            <w:pPr>
              <w:jc w:val="both"/>
            </w:pPr>
            <w:r w:rsidRPr="00EC7320">
              <w:t>CBC/chemistry profile/UA</w:t>
            </w:r>
          </w:p>
        </w:tc>
        <w:tc>
          <w:tcPr>
            <w:tcW w:w="1260" w:type="dxa"/>
          </w:tcPr>
          <w:p w14:paraId="5632379C" w14:textId="3BECD99E" w:rsidR="00B0783D" w:rsidRPr="00EC7320" w:rsidRDefault="009368A3" w:rsidP="00B0783D">
            <w:pPr>
              <w:jc w:val="both"/>
            </w:pPr>
            <w:r>
              <w:t>X</w:t>
            </w:r>
          </w:p>
        </w:tc>
        <w:tc>
          <w:tcPr>
            <w:tcW w:w="1080" w:type="dxa"/>
          </w:tcPr>
          <w:p w14:paraId="5F8C3762" w14:textId="77777777" w:rsidR="00B0783D" w:rsidRPr="00EC7320" w:rsidRDefault="00B0783D" w:rsidP="00B0783D">
            <w:pPr>
              <w:jc w:val="both"/>
            </w:pPr>
          </w:p>
        </w:tc>
        <w:tc>
          <w:tcPr>
            <w:tcW w:w="1080" w:type="dxa"/>
          </w:tcPr>
          <w:p w14:paraId="21359108" w14:textId="77777777" w:rsidR="00B0783D" w:rsidRPr="00EC7320" w:rsidRDefault="00B0783D" w:rsidP="00B0783D">
            <w:pPr>
              <w:jc w:val="both"/>
            </w:pPr>
            <w:r w:rsidRPr="00EC7320">
              <w:t>X</w:t>
            </w:r>
          </w:p>
        </w:tc>
        <w:tc>
          <w:tcPr>
            <w:tcW w:w="990" w:type="dxa"/>
          </w:tcPr>
          <w:p w14:paraId="1F099F00" w14:textId="77777777" w:rsidR="00B0783D" w:rsidRPr="00EC7320" w:rsidDel="00C158B0" w:rsidRDefault="00B0783D" w:rsidP="00B0783D">
            <w:pPr>
              <w:jc w:val="both"/>
            </w:pPr>
            <w:r w:rsidRPr="00EC7320">
              <w:t>X</w:t>
            </w:r>
          </w:p>
        </w:tc>
        <w:tc>
          <w:tcPr>
            <w:tcW w:w="990" w:type="dxa"/>
          </w:tcPr>
          <w:p w14:paraId="4F25743A" w14:textId="77777777" w:rsidR="00B0783D" w:rsidRPr="00EC7320" w:rsidDel="00C158B0" w:rsidRDefault="00B0783D" w:rsidP="00B0783D">
            <w:pPr>
              <w:jc w:val="both"/>
            </w:pPr>
            <w:r w:rsidRPr="00EC7320">
              <w:t>X</w:t>
            </w:r>
          </w:p>
        </w:tc>
        <w:tc>
          <w:tcPr>
            <w:tcW w:w="900" w:type="dxa"/>
          </w:tcPr>
          <w:p w14:paraId="6AE8BBDF" w14:textId="77777777" w:rsidR="00B0783D" w:rsidRPr="00EC7320" w:rsidDel="00C158B0" w:rsidRDefault="00B0783D" w:rsidP="00B0783D">
            <w:pPr>
              <w:jc w:val="both"/>
            </w:pPr>
            <w:r w:rsidRPr="00EC7320">
              <w:t>X</w:t>
            </w:r>
          </w:p>
        </w:tc>
        <w:tc>
          <w:tcPr>
            <w:tcW w:w="1170" w:type="dxa"/>
          </w:tcPr>
          <w:p w14:paraId="7D7C3BF1" w14:textId="1EB3E96E" w:rsidR="00B0783D" w:rsidRPr="00EC7320" w:rsidRDefault="000A7E0D" w:rsidP="00B0783D">
            <w:pPr>
              <w:jc w:val="both"/>
            </w:pPr>
            <w:r>
              <w:t>X</w:t>
            </w:r>
          </w:p>
        </w:tc>
      </w:tr>
      <w:tr w:rsidR="009368A3" w:rsidRPr="00EC7320" w14:paraId="00DD40CE" w14:textId="77777777" w:rsidTr="009C486A">
        <w:trPr>
          <w:trHeight w:val="292"/>
        </w:trPr>
        <w:tc>
          <w:tcPr>
            <w:tcW w:w="3060" w:type="dxa"/>
          </w:tcPr>
          <w:p w14:paraId="4ADA102D" w14:textId="430BD4A2" w:rsidR="009368A3" w:rsidRPr="00EC7320" w:rsidRDefault="009368A3" w:rsidP="00B0783D">
            <w:pPr>
              <w:jc w:val="both"/>
            </w:pPr>
            <w:r>
              <w:t>Abdominal ultrasound</w:t>
            </w:r>
          </w:p>
        </w:tc>
        <w:tc>
          <w:tcPr>
            <w:tcW w:w="1260" w:type="dxa"/>
          </w:tcPr>
          <w:p w14:paraId="2AAB62F1" w14:textId="37E934BA" w:rsidR="009368A3" w:rsidRPr="00EC7320" w:rsidRDefault="009368A3" w:rsidP="00B0783D">
            <w:pPr>
              <w:jc w:val="both"/>
            </w:pPr>
            <w:r>
              <w:t>X</w:t>
            </w:r>
          </w:p>
        </w:tc>
        <w:tc>
          <w:tcPr>
            <w:tcW w:w="1080" w:type="dxa"/>
          </w:tcPr>
          <w:p w14:paraId="0BFF942A" w14:textId="77777777" w:rsidR="009368A3" w:rsidRPr="00EC7320" w:rsidRDefault="009368A3" w:rsidP="00B0783D">
            <w:pPr>
              <w:jc w:val="both"/>
            </w:pPr>
          </w:p>
        </w:tc>
        <w:tc>
          <w:tcPr>
            <w:tcW w:w="1080" w:type="dxa"/>
          </w:tcPr>
          <w:p w14:paraId="66E3D636" w14:textId="77777777" w:rsidR="009368A3" w:rsidRPr="00EC7320" w:rsidRDefault="009368A3" w:rsidP="00B0783D">
            <w:pPr>
              <w:jc w:val="both"/>
            </w:pPr>
          </w:p>
        </w:tc>
        <w:tc>
          <w:tcPr>
            <w:tcW w:w="990" w:type="dxa"/>
          </w:tcPr>
          <w:p w14:paraId="4D9DD658" w14:textId="77777777" w:rsidR="009368A3" w:rsidRPr="00EC7320" w:rsidRDefault="009368A3" w:rsidP="00B0783D">
            <w:pPr>
              <w:jc w:val="both"/>
            </w:pPr>
          </w:p>
        </w:tc>
        <w:tc>
          <w:tcPr>
            <w:tcW w:w="990" w:type="dxa"/>
          </w:tcPr>
          <w:p w14:paraId="3B34CA0E" w14:textId="77777777" w:rsidR="009368A3" w:rsidRPr="00EC7320" w:rsidRDefault="009368A3" w:rsidP="00B0783D">
            <w:pPr>
              <w:jc w:val="both"/>
            </w:pPr>
          </w:p>
        </w:tc>
        <w:tc>
          <w:tcPr>
            <w:tcW w:w="900" w:type="dxa"/>
          </w:tcPr>
          <w:p w14:paraId="73385DFD" w14:textId="77777777" w:rsidR="009368A3" w:rsidRPr="00EC7320" w:rsidRDefault="009368A3" w:rsidP="00B0783D">
            <w:pPr>
              <w:jc w:val="both"/>
            </w:pPr>
          </w:p>
        </w:tc>
        <w:tc>
          <w:tcPr>
            <w:tcW w:w="1170" w:type="dxa"/>
          </w:tcPr>
          <w:p w14:paraId="547AAA1F" w14:textId="77777777" w:rsidR="009368A3" w:rsidRPr="00EC7320" w:rsidRDefault="009368A3" w:rsidP="00B0783D">
            <w:pPr>
              <w:jc w:val="both"/>
            </w:pPr>
          </w:p>
        </w:tc>
      </w:tr>
      <w:tr w:rsidR="00B0783D" w:rsidRPr="00EC7320" w14:paraId="151B7AB8" w14:textId="77777777" w:rsidTr="00826D24">
        <w:trPr>
          <w:trHeight w:val="292"/>
        </w:trPr>
        <w:tc>
          <w:tcPr>
            <w:tcW w:w="3060" w:type="dxa"/>
          </w:tcPr>
          <w:p w14:paraId="05FEC12E" w14:textId="77777777" w:rsidR="00B0783D" w:rsidRPr="00EC7320" w:rsidRDefault="00B0783D" w:rsidP="00B0783D">
            <w:pPr>
              <w:jc w:val="both"/>
            </w:pPr>
            <w:r w:rsidRPr="00EC7320">
              <w:t>Carboplatin administration 300mg/m2 IV</w:t>
            </w:r>
          </w:p>
        </w:tc>
        <w:tc>
          <w:tcPr>
            <w:tcW w:w="1260" w:type="dxa"/>
          </w:tcPr>
          <w:p w14:paraId="1945AE85" w14:textId="77777777" w:rsidR="00B0783D" w:rsidRPr="00EC7320" w:rsidRDefault="00B0783D" w:rsidP="00B0783D">
            <w:pPr>
              <w:jc w:val="both"/>
            </w:pPr>
          </w:p>
        </w:tc>
        <w:tc>
          <w:tcPr>
            <w:tcW w:w="1080" w:type="dxa"/>
          </w:tcPr>
          <w:p w14:paraId="2144EF9F" w14:textId="77777777" w:rsidR="00B0783D" w:rsidRPr="00EC7320" w:rsidRDefault="00B0783D" w:rsidP="00B0783D">
            <w:pPr>
              <w:jc w:val="both"/>
            </w:pPr>
          </w:p>
        </w:tc>
        <w:tc>
          <w:tcPr>
            <w:tcW w:w="1080" w:type="dxa"/>
          </w:tcPr>
          <w:p w14:paraId="6CA96F4A" w14:textId="77777777" w:rsidR="00B0783D" w:rsidRPr="00EC7320" w:rsidRDefault="00B0783D" w:rsidP="00B0783D">
            <w:pPr>
              <w:jc w:val="both"/>
            </w:pPr>
            <w:r w:rsidRPr="00EC7320">
              <w:t>X</w:t>
            </w:r>
          </w:p>
          <w:p w14:paraId="3B1F637E" w14:textId="77777777" w:rsidR="00B0783D" w:rsidRPr="00EC7320" w:rsidRDefault="00B0783D" w:rsidP="00B0783D">
            <w:pPr>
              <w:jc w:val="both"/>
            </w:pPr>
            <w:r w:rsidRPr="00EC7320">
              <w:t>(1</w:t>
            </w:r>
            <w:r w:rsidRPr="00EC7320">
              <w:rPr>
                <w:vertAlign w:val="superscript"/>
              </w:rPr>
              <w:t>st</w:t>
            </w:r>
            <w:r w:rsidRPr="00EC7320">
              <w:t xml:space="preserve"> dose)</w:t>
            </w:r>
          </w:p>
        </w:tc>
        <w:tc>
          <w:tcPr>
            <w:tcW w:w="990" w:type="dxa"/>
          </w:tcPr>
          <w:p w14:paraId="3E38AB1F" w14:textId="77777777" w:rsidR="00B0783D" w:rsidRPr="00EC7320" w:rsidRDefault="00B0783D" w:rsidP="00B0783D">
            <w:pPr>
              <w:jc w:val="both"/>
            </w:pPr>
            <w:r w:rsidRPr="00EC7320">
              <w:t>X</w:t>
            </w:r>
          </w:p>
          <w:p w14:paraId="1F098FA4" w14:textId="77777777" w:rsidR="00B0783D" w:rsidRPr="00EC7320" w:rsidRDefault="00B0783D" w:rsidP="00B0783D">
            <w:pPr>
              <w:jc w:val="both"/>
            </w:pPr>
            <w:r w:rsidRPr="00EC7320">
              <w:t>(2nd dose)</w:t>
            </w:r>
          </w:p>
        </w:tc>
        <w:tc>
          <w:tcPr>
            <w:tcW w:w="990" w:type="dxa"/>
          </w:tcPr>
          <w:p w14:paraId="4CD85614" w14:textId="77777777" w:rsidR="00B0783D" w:rsidRPr="00EC7320" w:rsidRDefault="00B0783D" w:rsidP="00B0783D">
            <w:pPr>
              <w:jc w:val="both"/>
            </w:pPr>
            <w:r w:rsidRPr="00EC7320">
              <w:t>X</w:t>
            </w:r>
          </w:p>
          <w:p w14:paraId="226B0C64" w14:textId="77777777" w:rsidR="00B0783D" w:rsidRPr="00EC7320" w:rsidRDefault="00B0783D" w:rsidP="00B0783D">
            <w:pPr>
              <w:jc w:val="both"/>
            </w:pPr>
            <w:r w:rsidRPr="00EC7320">
              <w:t>(3rd dose)</w:t>
            </w:r>
          </w:p>
        </w:tc>
        <w:tc>
          <w:tcPr>
            <w:tcW w:w="900" w:type="dxa"/>
          </w:tcPr>
          <w:p w14:paraId="7FC72AF8" w14:textId="77777777" w:rsidR="00B0783D" w:rsidRPr="00EC7320" w:rsidRDefault="00B0783D" w:rsidP="00B0783D">
            <w:pPr>
              <w:jc w:val="both"/>
            </w:pPr>
            <w:r w:rsidRPr="00EC7320">
              <w:t>X</w:t>
            </w:r>
          </w:p>
          <w:p w14:paraId="16C879B6" w14:textId="77777777" w:rsidR="00B0783D" w:rsidRPr="00EC7320" w:rsidRDefault="00B0783D" w:rsidP="00B0783D">
            <w:pPr>
              <w:jc w:val="both"/>
            </w:pPr>
            <w:r w:rsidRPr="00EC7320">
              <w:t>(4th dose)</w:t>
            </w:r>
          </w:p>
        </w:tc>
        <w:tc>
          <w:tcPr>
            <w:tcW w:w="1170" w:type="dxa"/>
          </w:tcPr>
          <w:p w14:paraId="23F1FA49" w14:textId="77777777" w:rsidR="00B0783D" w:rsidRPr="00EC7320" w:rsidRDefault="00B0783D" w:rsidP="00B0783D">
            <w:pPr>
              <w:jc w:val="both"/>
            </w:pPr>
          </w:p>
        </w:tc>
      </w:tr>
      <w:tr w:rsidR="00B0783D" w:rsidRPr="00EC7320" w14:paraId="75E2AC23" w14:textId="77777777" w:rsidTr="00826D24">
        <w:trPr>
          <w:trHeight w:val="292"/>
        </w:trPr>
        <w:tc>
          <w:tcPr>
            <w:tcW w:w="3060" w:type="dxa"/>
          </w:tcPr>
          <w:p w14:paraId="5A3FA129" w14:textId="77777777" w:rsidR="00B0783D" w:rsidRPr="00EC7320" w:rsidRDefault="00B0783D" w:rsidP="00B0783D">
            <w:pPr>
              <w:jc w:val="both"/>
            </w:pPr>
            <w:r w:rsidRPr="00EC7320">
              <w:t>Serum</w:t>
            </w:r>
          </w:p>
        </w:tc>
        <w:tc>
          <w:tcPr>
            <w:tcW w:w="1260" w:type="dxa"/>
          </w:tcPr>
          <w:p w14:paraId="56168433" w14:textId="77777777" w:rsidR="00B0783D" w:rsidRPr="00EC7320" w:rsidRDefault="00B0783D" w:rsidP="00B0783D">
            <w:pPr>
              <w:jc w:val="both"/>
            </w:pPr>
          </w:p>
        </w:tc>
        <w:tc>
          <w:tcPr>
            <w:tcW w:w="1080" w:type="dxa"/>
          </w:tcPr>
          <w:p w14:paraId="38DA7E5B" w14:textId="08989BC4" w:rsidR="00B0783D" w:rsidRPr="00EC7320" w:rsidRDefault="00B0783D" w:rsidP="00B0783D">
            <w:pPr>
              <w:jc w:val="both"/>
            </w:pPr>
            <w:r w:rsidRPr="00EC7320">
              <w:t>X</w:t>
            </w:r>
            <w:r w:rsidR="009368A3">
              <w:t xml:space="preserve"> (prior to </w:t>
            </w:r>
            <w:proofErr w:type="spellStart"/>
            <w:r w:rsidR="009368A3">
              <w:t>Sx</w:t>
            </w:r>
            <w:proofErr w:type="spellEnd"/>
            <w:r w:rsidR="009368A3">
              <w:t>)</w:t>
            </w:r>
          </w:p>
        </w:tc>
        <w:tc>
          <w:tcPr>
            <w:tcW w:w="1080" w:type="dxa"/>
          </w:tcPr>
          <w:p w14:paraId="312E3D21" w14:textId="3FAD61AA" w:rsidR="00B0783D" w:rsidRPr="00EC7320" w:rsidRDefault="00B0783D" w:rsidP="00B0783D">
            <w:pPr>
              <w:jc w:val="both"/>
            </w:pPr>
          </w:p>
        </w:tc>
        <w:tc>
          <w:tcPr>
            <w:tcW w:w="990" w:type="dxa"/>
          </w:tcPr>
          <w:p w14:paraId="55EBED2F" w14:textId="04C74A49" w:rsidR="00B0783D" w:rsidRPr="00EC7320" w:rsidRDefault="00B0783D" w:rsidP="00B0783D">
            <w:pPr>
              <w:jc w:val="both"/>
            </w:pPr>
          </w:p>
        </w:tc>
        <w:tc>
          <w:tcPr>
            <w:tcW w:w="990" w:type="dxa"/>
          </w:tcPr>
          <w:p w14:paraId="56F707E1" w14:textId="0F9FFC16" w:rsidR="00B0783D" w:rsidRPr="00EC7320" w:rsidRDefault="00B0783D" w:rsidP="00B0783D">
            <w:pPr>
              <w:jc w:val="both"/>
            </w:pPr>
          </w:p>
        </w:tc>
        <w:tc>
          <w:tcPr>
            <w:tcW w:w="900" w:type="dxa"/>
          </w:tcPr>
          <w:p w14:paraId="5DF61A7A" w14:textId="33C7DF68" w:rsidR="00B0783D" w:rsidRPr="00EC7320" w:rsidDel="00C158B0" w:rsidRDefault="00B0783D" w:rsidP="00B0783D">
            <w:pPr>
              <w:jc w:val="both"/>
            </w:pPr>
          </w:p>
        </w:tc>
        <w:tc>
          <w:tcPr>
            <w:tcW w:w="1170" w:type="dxa"/>
          </w:tcPr>
          <w:p w14:paraId="4562AF0F" w14:textId="7A5CF10D" w:rsidR="00B0783D" w:rsidRPr="00EC7320" w:rsidRDefault="00B0783D" w:rsidP="00B0783D">
            <w:pPr>
              <w:jc w:val="both"/>
            </w:pPr>
          </w:p>
        </w:tc>
      </w:tr>
      <w:tr w:rsidR="00B0783D" w:rsidRPr="00EC7320" w14:paraId="250ECBDC" w14:textId="77777777" w:rsidTr="00826D24">
        <w:trPr>
          <w:trHeight w:val="292"/>
        </w:trPr>
        <w:tc>
          <w:tcPr>
            <w:tcW w:w="3060" w:type="dxa"/>
          </w:tcPr>
          <w:p w14:paraId="13F2A4D1" w14:textId="2C5919F0" w:rsidR="00B0783D" w:rsidRPr="00EC7320" w:rsidRDefault="00655818" w:rsidP="00B0783D">
            <w:pPr>
              <w:jc w:val="both"/>
            </w:pPr>
            <w:r>
              <w:t>Whole Blood</w:t>
            </w:r>
          </w:p>
        </w:tc>
        <w:tc>
          <w:tcPr>
            <w:tcW w:w="1260" w:type="dxa"/>
          </w:tcPr>
          <w:p w14:paraId="5EA9A131" w14:textId="77777777" w:rsidR="00B0783D" w:rsidRPr="00EC7320" w:rsidRDefault="00B0783D" w:rsidP="00B0783D">
            <w:pPr>
              <w:jc w:val="both"/>
            </w:pPr>
          </w:p>
        </w:tc>
        <w:tc>
          <w:tcPr>
            <w:tcW w:w="1080" w:type="dxa"/>
          </w:tcPr>
          <w:p w14:paraId="2C99C8A4" w14:textId="619C59A9" w:rsidR="00B0783D" w:rsidRPr="00EC7320" w:rsidRDefault="00B0783D" w:rsidP="00B0783D">
            <w:pPr>
              <w:jc w:val="both"/>
            </w:pPr>
            <w:r w:rsidRPr="00EC7320">
              <w:t>X</w:t>
            </w:r>
            <w:r w:rsidR="009368A3">
              <w:t xml:space="preserve"> (prior </w:t>
            </w:r>
            <w:r w:rsidR="009368A3">
              <w:lastRenderedPageBreak/>
              <w:t xml:space="preserve">to </w:t>
            </w:r>
            <w:proofErr w:type="spellStart"/>
            <w:r w:rsidR="009368A3">
              <w:t>Sx</w:t>
            </w:r>
            <w:proofErr w:type="spellEnd"/>
            <w:r w:rsidR="009368A3">
              <w:t>)</w:t>
            </w:r>
          </w:p>
        </w:tc>
        <w:tc>
          <w:tcPr>
            <w:tcW w:w="1080" w:type="dxa"/>
          </w:tcPr>
          <w:p w14:paraId="22B30E60" w14:textId="798880EF" w:rsidR="00B0783D" w:rsidRPr="00EC7320" w:rsidRDefault="00B0783D" w:rsidP="00B0783D">
            <w:pPr>
              <w:jc w:val="both"/>
            </w:pPr>
          </w:p>
        </w:tc>
        <w:tc>
          <w:tcPr>
            <w:tcW w:w="990" w:type="dxa"/>
          </w:tcPr>
          <w:p w14:paraId="4A3B47B3" w14:textId="6C7996ED" w:rsidR="00B0783D" w:rsidRPr="00EC7320" w:rsidRDefault="00B0783D" w:rsidP="00B0783D">
            <w:pPr>
              <w:jc w:val="both"/>
            </w:pPr>
          </w:p>
        </w:tc>
        <w:tc>
          <w:tcPr>
            <w:tcW w:w="990" w:type="dxa"/>
          </w:tcPr>
          <w:p w14:paraId="5F3A7B29" w14:textId="07968062" w:rsidR="00B0783D" w:rsidRPr="00EC7320" w:rsidRDefault="00B0783D" w:rsidP="00B0783D">
            <w:pPr>
              <w:jc w:val="both"/>
            </w:pPr>
          </w:p>
        </w:tc>
        <w:tc>
          <w:tcPr>
            <w:tcW w:w="900" w:type="dxa"/>
          </w:tcPr>
          <w:p w14:paraId="6193CBA1" w14:textId="15D26E47" w:rsidR="00B0783D" w:rsidRPr="00EC7320" w:rsidRDefault="00B0783D" w:rsidP="00B0783D">
            <w:pPr>
              <w:jc w:val="both"/>
            </w:pPr>
          </w:p>
        </w:tc>
        <w:tc>
          <w:tcPr>
            <w:tcW w:w="1170" w:type="dxa"/>
          </w:tcPr>
          <w:p w14:paraId="7DF7C35D" w14:textId="44DD56EF" w:rsidR="00B0783D" w:rsidRPr="00EC7320" w:rsidRDefault="00B0783D" w:rsidP="00B0783D">
            <w:pPr>
              <w:jc w:val="both"/>
            </w:pPr>
          </w:p>
        </w:tc>
      </w:tr>
      <w:tr w:rsidR="00B0783D" w:rsidRPr="00EC7320" w14:paraId="46E9A11D" w14:textId="77777777" w:rsidTr="00826D24">
        <w:trPr>
          <w:trHeight w:val="292"/>
        </w:trPr>
        <w:tc>
          <w:tcPr>
            <w:tcW w:w="3060" w:type="dxa"/>
          </w:tcPr>
          <w:p w14:paraId="43AF812D" w14:textId="77777777" w:rsidR="00B0783D" w:rsidRPr="00EC7320" w:rsidRDefault="00B0783D" w:rsidP="00B0783D">
            <w:pPr>
              <w:jc w:val="both"/>
            </w:pPr>
            <w:r w:rsidRPr="00EC7320">
              <w:t>PBMC</w:t>
            </w:r>
          </w:p>
        </w:tc>
        <w:tc>
          <w:tcPr>
            <w:tcW w:w="1260" w:type="dxa"/>
          </w:tcPr>
          <w:p w14:paraId="3EFB7569" w14:textId="77777777" w:rsidR="00B0783D" w:rsidRPr="00EC7320" w:rsidRDefault="00B0783D" w:rsidP="00B0783D">
            <w:pPr>
              <w:jc w:val="both"/>
            </w:pPr>
          </w:p>
        </w:tc>
        <w:tc>
          <w:tcPr>
            <w:tcW w:w="1080" w:type="dxa"/>
          </w:tcPr>
          <w:p w14:paraId="4FD423B9" w14:textId="46288FB8" w:rsidR="00B0783D" w:rsidRPr="00EC7320" w:rsidRDefault="00B0783D" w:rsidP="00B0783D">
            <w:pPr>
              <w:jc w:val="both"/>
            </w:pPr>
            <w:r w:rsidRPr="00EC7320">
              <w:t>X</w:t>
            </w:r>
            <w:r w:rsidR="009368A3">
              <w:t xml:space="preserve"> (prior to </w:t>
            </w:r>
            <w:proofErr w:type="spellStart"/>
            <w:r w:rsidR="009368A3">
              <w:t>Sx</w:t>
            </w:r>
            <w:proofErr w:type="spellEnd"/>
            <w:r w:rsidR="009368A3">
              <w:t>)</w:t>
            </w:r>
          </w:p>
        </w:tc>
        <w:tc>
          <w:tcPr>
            <w:tcW w:w="1080" w:type="dxa"/>
          </w:tcPr>
          <w:p w14:paraId="186B3D3C" w14:textId="77777777" w:rsidR="00B0783D" w:rsidRPr="00EC7320" w:rsidRDefault="00B0783D" w:rsidP="00B0783D">
            <w:pPr>
              <w:jc w:val="both"/>
            </w:pPr>
          </w:p>
        </w:tc>
        <w:tc>
          <w:tcPr>
            <w:tcW w:w="990" w:type="dxa"/>
          </w:tcPr>
          <w:p w14:paraId="6518F625" w14:textId="77777777" w:rsidR="00B0783D" w:rsidRPr="00EC7320" w:rsidRDefault="00B0783D" w:rsidP="00B0783D">
            <w:pPr>
              <w:jc w:val="both"/>
            </w:pPr>
          </w:p>
        </w:tc>
        <w:tc>
          <w:tcPr>
            <w:tcW w:w="990" w:type="dxa"/>
          </w:tcPr>
          <w:p w14:paraId="09A7D0FF" w14:textId="77777777" w:rsidR="00B0783D" w:rsidRPr="00EC7320" w:rsidRDefault="00B0783D" w:rsidP="00B0783D">
            <w:pPr>
              <w:jc w:val="both"/>
            </w:pPr>
          </w:p>
        </w:tc>
        <w:tc>
          <w:tcPr>
            <w:tcW w:w="900" w:type="dxa"/>
          </w:tcPr>
          <w:p w14:paraId="06097B2A" w14:textId="77777777" w:rsidR="00B0783D" w:rsidRPr="00EC7320" w:rsidRDefault="00B0783D" w:rsidP="00B0783D">
            <w:pPr>
              <w:jc w:val="both"/>
            </w:pPr>
          </w:p>
        </w:tc>
        <w:tc>
          <w:tcPr>
            <w:tcW w:w="1170" w:type="dxa"/>
          </w:tcPr>
          <w:p w14:paraId="34C6BA66" w14:textId="77777777" w:rsidR="00B0783D" w:rsidRPr="00EC7320" w:rsidRDefault="00B0783D" w:rsidP="00B0783D">
            <w:pPr>
              <w:jc w:val="both"/>
            </w:pPr>
          </w:p>
        </w:tc>
      </w:tr>
    </w:tbl>
    <w:p w14:paraId="775F996F" w14:textId="152A2B6A" w:rsidR="00B0783D" w:rsidRPr="000A7E0D" w:rsidRDefault="000A7E0D" w:rsidP="0043247C">
      <w:pPr>
        <w:jc w:val="both"/>
      </w:pPr>
      <w:r w:rsidRPr="000A7E0D">
        <w:rPr>
          <w:vertAlign w:val="superscript"/>
        </w:rPr>
        <w:t>1</w:t>
      </w:r>
      <w:r w:rsidRPr="000A7E0D">
        <w:t xml:space="preserve">Rapamycin therapy must be initiated within </w:t>
      </w:r>
      <w:r w:rsidR="00583B94">
        <w:t>7 days</w:t>
      </w:r>
      <w:r w:rsidR="00075AFC">
        <w:t xml:space="preserve"> following</w:t>
      </w:r>
      <w:r w:rsidR="00C87F46">
        <w:t xml:space="preserve"> </w:t>
      </w:r>
      <w:r w:rsidRPr="000A7E0D">
        <w:t xml:space="preserve">the </w:t>
      </w:r>
      <w:r w:rsidR="00583B94">
        <w:t>Week</w:t>
      </w:r>
      <w:r w:rsidR="00583B94" w:rsidRPr="000A7E0D">
        <w:t xml:space="preserve"> </w:t>
      </w:r>
      <w:r w:rsidRPr="000A7E0D">
        <w:t>15 recheck</w:t>
      </w:r>
    </w:p>
    <w:p w14:paraId="72A1BF2A" w14:textId="77777777" w:rsidR="0043247C" w:rsidRPr="00EC7320" w:rsidRDefault="0043247C" w:rsidP="0043247C">
      <w:pPr>
        <w:jc w:val="both"/>
        <w:rPr>
          <w:b/>
        </w:rPr>
      </w:pPr>
    </w:p>
    <w:p w14:paraId="392DE33C" w14:textId="3C1C1489" w:rsidR="0043247C" w:rsidRPr="00EC7320" w:rsidRDefault="00B0783D" w:rsidP="00826D24">
      <w:pPr>
        <w:ind w:firstLine="720"/>
        <w:jc w:val="both"/>
        <w:rPr>
          <w:b/>
        </w:rPr>
      </w:pPr>
      <w:r>
        <w:rPr>
          <w:b/>
        </w:rPr>
        <w:t>3</w:t>
      </w:r>
      <w:r w:rsidR="0043247C" w:rsidRPr="00EC7320">
        <w:rPr>
          <w:b/>
        </w:rPr>
        <w:t>.</w:t>
      </w:r>
      <w:r>
        <w:rPr>
          <w:b/>
        </w:rPr>
        <w:t>2</w:t>
      </w:r>
      <w:r w:rsidR="0043247C" w:rsidRPr="00EC7320">
        <w:rPr>
          <w:b/>
        </w:rPr>
        <w:t xml:space="preserve"> Surgery</w:t>
      </w:r>
    </w:p>
    <w:p w14:paraId="307345DF" w14:textId="432C86D6" w:rsidR="0043247C" w:rsidRDefault="0043247C" w:rsidP="0043247C">
      <w:pPr>
        <w:ind w:left="720"/>
        <w:jc w:val="both"/>
      </w:pPr>
      <w:r w:rsidRPr="00EC7320">
        <w:t>Following the appropriate baseline imaging and blood collections and confirmation of eligibility, dogs will undergo surgery within 7 days at the COTC institution. At the time of surgery, tumor and normal tissue samples will be collected and stored according to a standardized SOP</w:t>
      </w:r>
      <w:r w:rsidR="008357B8">
        <w:t xml:space="preserve"> (</w:t>
      </w:r>
      <w:r w:rsidR="0095665D" w:rsidRPr="00826D24">
        <w:t>SOP</w:t>
      </w:r>
      <w:r w:rsidR="0095665D">
        <w:t>04</w:t>
      </w:r>
      <w:r w:rsidR="008357B8">
        <w:t>)</w:t>
      </w:r>
      <w:r w:rsidR="002A064E">
        <w:t>.</w:t>
      </w:r>
      <w:r w:rsidRPr="00EC7320">
        <w:t xml:space="preserve"> </w:t>
      </w:r>
      <w:r w:rsidR="009C486A" w:rsidRPr="00826D24">
        <w:rPr>
          <w:rFonts w:ascii="Times New Roman" w:hAnsi="Times New Roman"/>
        </w:rPr>
        <w:t xml:space="preserve">Lymph nodes (prescapular and axillary for forelimb osteosarcoma lesions and popliteal for hindlimb osteosarcoma lesions) </w:t>
      </w:r>
      <w:r w:rsidR="009368A3">
        <w:rPr>
          <w:rFonts w:ascii="Times New Roman" w:hAnsi="Times New Roman"/>
        </w:rPr>
        <w:t>must</w:t>
      </w:r>
      <w:r w:rsidR="009C486A" w:rsidRPr="00826D24">
        <w:rPr>
          <w:rFonts w:ascii="Times New Roman" w:hAnsi="Times New Roman"/>
        </w:rPr>
        <w:t xml:space="preserve"> be assessed by histopathology to ascertain if lymph node metastasis</w:t>
      </w:r>
      <w:r w:rsidR="009368A3">
        <w:rPr>
          <w:rFonts w:ascii="Times New Roman" w:hAnsi="Times New Roman"/>
        </w:rPr>
        <w:t xml:space="preserve"> exists</w:t>
      </w:r>
      <w:r w:rsidR="009C486A" w:rsidRPr="00826D24">
        <w:rPr>
          <w:rFonts w:ascii="Times New Roman" w:hAnsi="Times New Roman"/>
        </w:rPr>
        <w:t>.</w:t>
      </w:r>
      <w:r w:rsidR="009C486A">
        <w:rPr>
          <w:rFonts w:ascii="Times New Roman" w:hAnsi="Times New Roman"/>
        </w:rPr>
        <w:t xml:space="preserve"> Dogs with</w:t>
      </w:r>
      <w:r w:rsidR="00673701">
        <w:rPr>
          <w:rFonts w:ascii="Times New Roman" w:hAnsi="Times New Roman"/>
        </w:rPr>
        <w:t xml:space="preserve"> confirmed regionally nodal</w:t>
      </w:r>
      <w:r w:rsidR="009C486A">
        <w:rPr>
          <w:rFonts w:ascii="Times New Roman" w:hAnsi="Times New Roman"/>
        </w:rPr>
        <w:t xml:space="preserve"> metastatic disease will be removed from study.</w:t>
      </w:r>
      <w:r w:rsidR="009C486A" w:rsidRPr="00EC7320">
        <w:t xml:space="preserve"> </w:t>
      </w:r>
      <w:r w:rsidRPr="00EC7320">
        <w:t xml:space="preserve">A report of the surgical approach/methods should be sent as a PDF to Christina Mazcko to be added to the database for each patient. </w:t>
      </w:r>
    </w:p>
    <w:p w14:paraId="617DBE6B" w14:textId="77777777" w:rsidR="00B0783D" w:rsidRDefault="00B0783D" w:rsidP="00826D24">
      <w:pPr>
        <w:jc w:val="both"/>
      </w:pPr>
    </w:p>
    <w:p w14:paraId="2FFF0230" w14:textId="2245037A" w:rsidR="00B0783D" w:rsidRPr="00BB4FC8" w:rsidRDefault="00B0783D" w:rsidP="0043247C">
      <w:pPr>
        <w:ind w:left="720"/>
        <w:jc w:val="both"/>
        <w:rPr>
          <w:b/>
        </w:rPr>
      </w:pPr>
      <w:r w:rsidRPr="00BB4FC8">
        <w:rPr>
          <w:b/>
        </w:rPr>
        <w:t xml:space="preserve">3.3 </w:t>
      </w:r>
      <w:r w:rsidR="00BB4FC8" w:rsidRPr="00BB4FC8">
        <w:rPr>
          <w:b/>
        </w:rPr>
        <w:t>Biological</w:t>
      </w:r>
      <w:r w:rsidRPr="00BB4FC8">
        <w:rPr>
          <w:b/>
        </w:rPr>
        <w:t xml:space="preserve"> Collections and Applications</w:t>
      </w:r>
    </w:p>
    <w:p w14:paraId="6503B3D1" w14:textId="6865DDD1" w:rsidR="00B0783D" w:rsidRPr="00EC7320" w:rsidRDefault="002A064E" w:rsidP="0043247C">
      <w:pPr>
        <w:ind w:left="720"/>
        <w:jc w:val="both"/>
      </w:pPr>
      <w:r>
        <w:t>Tumor and normal tissue will be collected during surgical amputation. Serum, whole blood, and PBMC will be collected at baseline prior to surgery</w:t>
      </w:r>
      <w:r w:rsidR="0095665D">
        <w:t xml:space="preserve"> (SOP 01, 02, 03)</w:t>
      </w:r>
      <w:r>
        <w:t>.</w:t>
      </w:r>
    </w:p>
    <w:p w14:paraId="514C4404" w14:textId="77777777" w:rsidR="0043247C" w:rsidRPr="00EC7320" w:rsidRDefault="0043247C" w:rsidP="0043247C">
      <w:pPr>
        <w:jc w:val="both"/>
      </w:pPr>
    </w:p>
    <w:p w14:paraId="75DA3CA5" w14:textId="4CA33590" w:rsidR="0043247C" w:rsidRPr="00EC7320" w:rsidRDefault="00B0783D" w:rsidP="0043247C">
      <w:pPr>
        <w:ind w:firstLine="720"/>
        <w:jc w:val="both"/>
        <w:rPr>
          <w:b/>
          <w:bCs/>
          <w:i/>
        </w:rPr>
      </w:pPr>
      <w:r>
        <w:rPr>
          <w:b/>
          <w:bCs/>
        </w:rPr>
        <w:t>3</w:t>
      </w:r>
      <w:r w:rsidR="0043247C" w:rsidRPr="00EC7320">
        <w:rPr>
          <w:b/>
          <w:bCs/>
        </w:rPr>
        <w:t>.</w:t>
      </w:r>
      <w:r>
        <w:rPr>
          <w:b/>
          <w:bCs/>
        </w:rPr>
        <w:t>4</w:t>
      </w:r>
      <w:r w:rsidRPr="00EC7320">
        <w:rPr>
          <w:b/>
          <w:bCs/>
        </w:rPr>
        <w:t xml:space="preserve"> </w:t>
      </w:r>
      <w:r w:rsidR="0043247C" w:rsidRPr="00EC7320">
        <w:rPr>
          <w:b/>
          <w:bCs/>
        </w:rPr>
        <w:t xml:space="preserve">Carboplatin </w:t>
      </w:r>
      <w:r>
        <w:rPr>
          <w:b/>
          <w:bCs/>
        </w:rPr>
        <w:t xml:space="preserve">Dosing and </w:t>
      </w:r>
      <w:r w:rsidR="0043247C" w:rsidRPr="00EC7320">
        <w:rPr>
          <w:b/>
          <w:bCs/>
        </w:rPr>
        <w:t>Administration</w:t>
      </w:r>
    </w:p>
    <w:p w14:paraId="7978A8AC" w14:textId="684AE876" w:rsidR="0043247C" w:rsidRDefault="0043247C" w:rsidP="0043247C">
      <w:pPr>
        <w:ind w:left="720"/>
        <w:jc w:val="both"/>
      </w:pPr>
      <w:r w:rsidRPr="00EC7320">
        <w:t>Between 10-14 days post-surgical amputation, dogs will begin adjuvant carboplatin chemotherapy at the COTC institution. The COTC clinician will obtain a CBC, chemistry profile and urinalysis within 48 hours of planned carboplatin administration. The lab results will be reviewed and the dog deemed acceptable to receive treatment. The dose of carboplatin will be 300 mg/m</w:t>
      </w:r>
      <w:r w:rsidRPr="00826D24">
        <w:rPr>
          <w:vertAlign w:val="superscript"/>
        </w:rPr>
        <w:t>2</w:t>
      </w:r>
      <w:r w:rsidRPr="00EC7320">
        <w:t xml:space="preserve"> given as an inpatient IV infusion.  For this study, dogs must have a minimum of 2</w:t>
      </w:r>
      <w:r w:rsidR="00075AFC">
        <w:t>,</w:t>
      </w:r>
      <w:r w:rsidRPr="00EC7320">
        <w:t>000 neutrophils/</w:t>
      </w:r>
      <w:proofErr w:type="spellStart"/>
      <w:r w:rsidRPr="00EC7320">
        <w:t>uL</w:t>
      </w:r>
      <w:proofErr w:type="spellEnd"/>
      <w:r w:rsidRPr="00EC7320">
        <w:t xml:space="preserve"> and 150,000 platelets/</w:t>
      </w:r>
      <w:proofErr w:type="spellStart"/>
      <w:r w:rsidRPr="00EC7320">
        <w:t>uL</w:t>
      </w:r>
      <w:proofErr w:type="spellEnd"/>
      <w:r w:rsidRPr="00EC7320">
        <w:t xml:space="preserve"> with normal renal function as determined by BUN/creatinine to safely receive chemotherapy.</w:t>
      </w:r>
    </w:p>
    <w:p w14:paraId="24EBC1BA" w14:textId="77777777" w:rsidR="0043247C" w:rsidRPr="00EC7320" w:rsidRDefault="0043247C" w:rsidP="0043247C">
      <w:pPr>
        <w:ind w:left="720"/>
        <w:jc w:val="both"/>
        <w:rPr>
          <w:bCs/>
          <w:color w:val="000000"/>
        </w:rPr>
      </w:pPr>
    </w:p>
    <w:p w14:paraId="0373BE23" w14:textId="52A8B70F" w:rsidR="0043247C" w:rsidRDefault="0043247C" w:rsidP="0043247C">
      <w:pPr>
        <w:ind w:left="720"/>
        <w:jc w:val="both"/>
      </w:pPr>
      <w:r w:rsidRPr="00EC7320">
        <w:t xml:space="preserve">Carboplatin will be formulated for administration based on each COTC site’s conventional practice according to the study schedule. The starting carboplatin dose should be 300 mg/m² unless the COTC treating clinician has concerns re: patient obesity or other factors, in which case a consensus for an alternate starting dose will be reached between Dr. </w:t>
      </w:r>
      <w:r w:rsidR="00715331">
        <w:t>Fan</w:t>
      </w:r>
      <w:r w:rsidRPr="00EC7320">
        <w:t xml:space="preserve"> and COTC site PI.</w:t>
      </w:r>
    </w:p>
    <w:p w14:paraId="04B15285" w14:textId="77777777" w:rsidR="00024171" w:rsidRDefault="00024171" w:rsidP="0043247C">
      <w:pPr>
        <w:ind w:left="720"/>
        <w:jc w:val="both"/>
      </w:pPr>
    </w:p>
    <w:p w14:paraId="0FDDD514" w14:textId="2C4AB1C7" w:rsidR="00024171" w:rsidRDefault="00B0783D" w:rsidP="00024171">
      <w:pPr>
        <w:ind w:firstLine="720"/>
        <w:jc w:val="both"/>
        <w:rPr>
          <w:b/>
        </w:rPr>
      </w:pPr>
      <w:r>
        <w:rPr>
          <w:b/>
        </w:rPr>
        <w:t>3</w:t>
      </w:r>
      <w:r w:rsidR="00024171">
        <w:rPr>
          <w:b/>
        </w:rPr>
        <w:t>.</w:t>
      </w:r>
      <w:r>
        <w:rPr>
          <w:b/>
        </w:rPr>
        <w:t>5</w:t>
      </w:r>
      <w:r w:rsidRPr="00EC7320">
        <w:rPr>
          <w:b/>
        </w:rPr>
        <w:t xml:space="preserve"> </w:t>
      </w:r>
      <w:r w:rsidR="00024171" w:rsidRPr="00EC7320">
        <w:rPr>
          <w:b/>
        </w:rPr>
        <w:t>Patient monitoring</w:t>
      </w:r>
    </w:p>
    <w:p w14:paraId="4C442CEB" w14:textId="77777777" w:rsidR="00024171" w:rsidRPr="00EC7320" w:rsidRDefault="00024171" w:rsidP="004B035C">
      <w:pPr>
        <w:ind w:left="720"/>
        <w:jc w:val="both"/>
        <w:rPr>
          <w:bCs/>
          <w:color w:val="000000"/>
        </w:rPr>
      </w:pPr>
      <w:r w:rsidRPr="00EC7320">
        <w:t xml:space="preserve">Dogs will be discharged from the hospital on the day of carboplatin administration and owners will be instructed to contact the COTC site if any unusual/adverse events occur once a patient is discharged. If adverse events are seen, the patient should return immediately for evaluation.  Owners will complete the Owner Assessment Form to record their impressions of their dogs’ clinical status and during the study period. Owner Assessment Forms will be submitted for review at each visit during the study period. </w:t>
      </w:r>
    </w:p>
    <w:p w14:paraId="0A51F5B9" w14:textId="77777777" w:rsidR="0043247C" w:rsidRPr="00EC7320" w:rsidRDefault="0043247C" w:rsidP="0043247C">
      <w:pPr>
        <w:jc w:val="both"/>
      </w:pPr>
    </w:p>
    <w:p w14:paraId="054C65BF" w14:textId="4892D850" w:rsidR="0043247C" w:rsidRPr="00EC7320" w:rsidRDefault="00B0783D" w:rsidP="0043247C">
      <w:pPr>
        <w:ind w:firstLine="720"/>
        <w:jc w:val="both"/>
      </w:pPr>
      <w:r>
        <w:rPr>
          <w:b/>
        </w:rPr>
        <w:t>3</w:t>
      </w:r>
      <w:r w:rsidR="0043247C" w:rsidRPr="00EC7320">
        <w:rPr>
          <w:b/>
        </w:rPr>
        <w:t>.</w:t>
      </w:r>
      <w:r>
        <w:rPr>
          <w:b/>
        </w:rPr>
        <w:t>6</w:t>
      </w:r>
      <w:r w:rsidRPr="00EC7320">
        <w:rPr>
          <w:b/>
        </w:rPr>
        <w:t xml:space="preserve"> </w:t>
      </w:r>
      <w:r w:rsidR="00043349">
        <w:rPr>
          <w:b/>
        </w:rPr>
        <w:t xml:space="preserve">Carboplatin </w:t>
      </w:r>
      <w:r w:rsidR="0043247C" w:rsidRPr="00EC7320">
        <w:rPr>
          <w:b/>
        </w:rPr>
        <w:t>Dose Modification Guidelines</w:t>
      </w:r>
    </w:p>
    <w:p w14:paraId="033A05DF" w14:textId="1E3D9550" w:rsidR="0043247C" w:rsidRPr="00EC7320" w:rsidRDefault="0043247C" w:rsidP="0043247C">
      <w:pPr>
        <w:ind w:left="720"/>
        <w:jc w:val="both"/>
        <w:rPr>
          <w:rFonts w:eastAsia="MS Gothic"/>
          <w:color w:val="000000"/>
        </w:rPr>
      </w:pPr>
      <w:r w:rsidRPr="00EC7320">
        <w:rPr>
          <w:b/>
        </w:rPr>
        <w:t>Dose delay</w:t>
      </w:r>
      <w:r w:rsidRPr="00EC7320">
        <w:t>: In the event that a dog has unacceptable labwork to allow for safe chemotherapy administration (e.g. Grade 1 or higher neutropenia</w:t>
      </w:r>
      <w:r w:rsidR="008F0B4D">
        <w:t xml:space="preserve"> [less than 1,500 cells/</w:t>
      </w:r>
      <w:proofErr w:type="spellStart"/>
      <w:r w:rsidR="008F0B4D">
        <w:t>ul</w:t>
      </w:r>
      <w:proofErr w:type="spellEnd"/>
      <w:r w:rsidR="008F0B4D">
        <w:t>]</w:t>
      </w:r>
      <w:r w:rsidRPr="00EC7320">
        <w:t>, thrombocytopenia</w:t>
      </w:r>
      <w:r w:rsidR="008F0B4D">
        <w:t xml:space="preserve"> [less </w:t>
      </w:r>
      <w:r w:rsidR="008F0B4D">
        <w:lastRenderedPageBreak/>
        <w:t>than 100,000 cells/</w:t>
      </w:r>
      <w:proofErr w:type="spellStart"/>
      <w:r w:rsidR="008F0B4D">
        <w:t>ul</w:t>
      </w:r>
      <w:proofErr w:type="spellEnd"/>
      <w:r w:rsidR="008F0B4D">
        <w:t>]</w:t>
      </w:r>
      <w:r w:rsidRPr="00EC7320">
        <w:t xml:space="preserve">), the COTC clinician should prescribe a dose delay of up to </w:t>
      </w:r>
      <w:r w:rsidR="00075AFC">
        <w:t>7</w:t>
      </w:r>
      <w:r w:rsidR="00075AFC" w:rsidRPr="00EC7320">
        <w:t xml:space="preserve"> </w:t>
      </w:r>
      <w:r w:rsidRPr="00EC7320">
        <w:t xml:space="preserve">days and repeat any pertinent labwork prior to re-attempting carboplatin administration. Delays in treatment should be kept to </w:t>
      </w:r>
      <w:r w:rsidRPr="00EC7320">
        <w:rPr>
          <w:rFonts w:eastAsia="MS Gothic"/>
          <w:color w:val="000000"/>
        </w:rPr>
        <w:t xml:space="preserve">≤ 7 days in order to maintain dose intensity while managing toxicity and protecting patient safety. Confirmation of the timeline and plan for the patient in question should be communicated prior to implementation with Dr. </w:t>
      </w:r>
      <w:r w:rsidR="00203429">
        <w:rPr>
          <w:rFonts w:eastAsia="MS Gothic"/>
          <w:color w:val="000000"/>
        </w:rPr>
        <w:t>Fan</w:t>
      </w:r>
      <w:r w:rsidRPr="00EC7320">
        <w:rPr>
          <w:rFonts w:eastAsia="MS Gothic"/>
          <w:color w:val="000000"/>
        </w:rPr>
        <w:t xml:space="preserve"> and/or Christina Mazcko.</w:t>
      </w:r>
    </w:p>
    <w:p w14:paraId="63FFE286" w14:textId="77777777" w:rsidR="0043247C" w:rsidRPr="00EC7320" w:rsidRDefault="0043247C" w:rsidP="0043247C">
      <w:pPr>
        <w:jc w:val="both"/>
        <w:rPr>
          <w:bCs/>
          <w:color w:val="000000"/>
        </w:rPr>
      </w:pPr>
    </w:p>
    <w:p w14:paraId="6AA21675" w14:textId="3B95E22C" w:rsidR="0043247C" w:rsidRPr="00EC7320" w:rsidRDefault="0043247C" w:rsidP="0043247C">
      <w:pPr>
        <w:ind w:left="720"/>
        <w:jc w:val="both"/>
        <w:rPr>
          <w:rFonts w:eastAsia="MS Gothic"/>
          <w:color w:val="000000"/>
        </w:rPr>
      </w:pPr>
      <w:r w:rsidRPr="00EC7320">
        <w:rPr>
          <w:b/>
          <w:bCs/>
          <w:color w:val="000000"/>
        </w:rPr>
        <w:t>Dosing modification after a treatment delay:</w:t>
      </w:r>
      <w:r w:rsidRPr="00EC7320">
        <w:rPr>
          <w:bCs/>
          <w:color w:val="000000"/>
        </w:rPr>
        <w:t xml:space="preserve"> In dogs with </w:t>
      </w:r>
      <w:r w:rsidR="008F0B4D">
        <w:rPr>
          <w:bCs/>
          <w:color w:val="000000"/>
        </w:rPr>
        <w:t>recurrent</w:t>
      </w:r>
      <w:r w:rsidRPr="00EC7320">
        <w:rPr>
          <w:bCs/>
          <w:color w:val="000000"/>
        </w:rPr>
        <w:t xml:space="preserve"> treatment delay</w:t>
      </w:r>
      <w:r w:rsidR="008F0B4D">
        <w:rPr>
          <w:bCs/>
          <w:color w:val="000000"/>
        </w:rPr>
        <w:t>s</w:t>
      </w:r>
      <w:r w:rsidRPr="00EC7320">
        <w:rPr>
          <w:bCs/>
          <w:color w:val="000000"/>
        </w:rPr>
        <w:t xml:space="preserve"> due to Grade 2 or higher my</w:t>
      </w:r>
      <w:r w:rsidR="0035466F">
        <w:rPr>
          <w:bCs/>
          <w:color w:val="000000"/>
        </w:rPr>
        <w:t>el</w:t>
      </w:r>
      <w:r w:rsidRPr="00EC7320">
        <w:rPr>
          <w:bCs/>
          <w:color w:val="000000"/>
        </w:rPr>
        <w:t>osuppression</w:t>
      </w:r>
      <w:r w:rsidR="008F0B4D">
        <w:rPr>
          <w:bCs/>
          <w:color w:val="000000"/>
        </w:rPr>
        <w:t xml:space="preserve"> (neutropenia [less than 1,499 cells/</w:t>
      </w:r>
      <w:proofErr w:type="spellStart"/>
      <w:r w:rsidR="008F0B4D">
        <w:rPr>
          <w:bCs/>
          <w:color w:val="000000"/>
        </w:rPr>
        <w:t>ul</w:t>
      </w:r>
      <w:proofErr w:type="spellEnd"/>
      <w:r w:rsidR="008F0B4D">
        <w:rPr>
          <w:bCs/>
          <w:color w:val="000000"/>
        </w:rPr>
        <w:t>] or thrombocytopenia [less than 99,000 cells/</w:t>
      </w:r>
      <w:proofErr w:type="spellStart"/>
      <w:r w:rsidR="008F0B4D">
        <w:rPr>
          <w:bCs/>
          <w:color w:val="000000"/>
        </w:rPr>
        <w:t>ul</w:t>
      </w:r>
      <w:proofErr w:type="spellEnd"/>
      <w:r w:rsidR="008F0B4D">
        <w:rPr>
          <w:bCs/>
          <w:color w:val="000000"/>
        </w:rPr>
        <w:t>])</w:t>
      </w:r>
      <w:r w:rsidRPr="00EC7320">
        <w:rPr>
          <w:bCs/>
          <w:color w:val="000000"/>
        </w:rPr>
        <w:t xml:space="preserve">, a 10% reduction in carboplatin should be prescribed for the ensuing cycle, but should maintain the q21 treatment interval. </w:t>
      </w:r>
      <w:r w:rsidRPr="00EC7320">
        <w:rPr>
          <w:rFonts w:eastAsia="MS Gothic"/>
          <w:color w:val="000000"/>
        </w:rPr>
        <w:t>Confirmation of the timeline and plan for the patient in question should be communicated p</w:t>
      </w:r>
      <w:r w:rsidR="00605AD4">
        <w:rPr>
          <w:rFonts w:eastAsia="MS Gothic"/>
          <w:color w:val="000000"/>
        </w:rPr>
        <w:t>rior to implementation with Dr. Fan</w:t>
      </w:r>
      <w:r w:rsidRPr="00EC7320">
        <w:rPr>
          <w:rFonts w:eastAsia="MS Gothic"/>
          <w:color w:val="000000"/>
        </w:rPr>
        <w:t xml:space="preserve"> and/or Christina Mazcko.</w:t>
      </w:r>
    </w:p>
    <w:p w14:paraId="674466EF" w14:textId="77777777" w:rsidR="0043247C" w:rsidRPr="00EC7320" w:rsidRDefault="0043247C" w:rsidP="0043247C">
      <w:pPr>
        <w:jc w:val="both"/>
        <w:rPr>
          <w:bCs/>
          <w:color w:val="000000"/>
        </w:rPr>
      </w:pPr>
    </w:p>
    <w:p w14:paraId="742BCEBE" w14:textId="448157AB" w:rsidR="00BB4FC8" w:rsidRDefault="008E79A6" w:rsidP="00826D24">
      <w:pPr>
        <w:pStyle w:val="NormalWeb"/>
        <w:spacing w:before="0" w:beforeAutospacing="0" w:after="0" w:afterAutospacing="0"/>
        <w:ind w:left="720"/>
        <w:jc w:val="both"/>
        <w:rPr>
          <w:rFonts w:ascii="Times" w:hAnsi="Times"/>
          <w:b/>
          <w:bCs/>
          <w:color w:val="000000"/>
        </w:rPr>
      </w:pPr>
      <w:r w:rsidRPr="008E79A6">
        <w:rPr>
          <w:rFonts w:ascii="Times" w:hAnsi="Times"/>
          <w:b/>
          <w:bCs/>
          <w:color w:val="000000"/>
        </w:rPr>
        <w:t xml:space="preserve">3.7 Continuation on </w:t>
      </w:r>
      <w:r>
        <w:rPr>
          <w:rFonts w:ascii="Times" w:hAnsi="Times"/>
          <w:b/>
          <w:bCs/>
          <w:color w:val="000000"/>
        </w:rPr>
        <w:t>S</w:t>
      </w:r>
      <w:r w:rsidRPr="008E79A6">
        <w:rPr>
          <w:rFonts w:ascii="Times" w:hAnsi="Times"/>
          <w:b/>
          <w:bCs/>
          <w:color w:val="000000"/>
        </w:rPr>
        <w:t>tudy</w:t>
      </w:r>
    </w:p>
    <w:p w14:paraId="03E3A642" w14:textId="39E52A8F" w:rsidR="008E79A6" w:rsidRPr="00BB4FC8" w:rsidRDefault="008E79A6" w:rsidP="00826D24">
      <w:pPr>
        <w:pStyle w:val="NormalWeb"/>
        <w:spacing w:before="0" w:beforeAutospacing="0" w:after="0" w:afterAutospacing="0"/>
        <w:ind w:left="720"/>
        <w:jc w:val="both"/>
        <w:rPr>
          <w:rFonts w:ascii="Times" w:hAnsi="Times"/>
          <w:b/>
          <w:bCs/>
          <w:color w:val="000000"/>
        </w:rPr>
      </w:pPr>
      <w:r w:rsidRPr="00EC7320">
        <w:t>After completion of chemotherapy</w:t>
      </w:r>
      <w:r w:rsidR="008F0B4D">
        <w:t xml:space="preserve"> (Week 12)</w:t>
      </w:r>
      <w:r w:rsidRPr="00EC7320">
        <w:t xml:space="preserve">, dogs must return to the COTC member site for re-evaluation </w:t>
      </w:r>
      <w:r w:rsidR="008F0B4D">
        <w:t xml:space="preserve">(Week 15) </w:t>
      </w:r>
      <w:r>
        <w:t>and determination if they are still free of disease</w:t>
      </w:r>
      <w:r w:rsidR="008F0B4D">
        <w:t xml:space="preserve"> based upon thorough physical examination and 3-view thoracic radiographs</w:t>
      </w:r>
      <w:r>
        <w:t xml:space="preserve"> and can continue on to receive rapamycin</w:t>
      </w:r>
      <w:r w:rsidR="00075AFC">
        <w:t xml:space="preserve"> (Investigational arm) or receive no additional treatment (SOC arm) based upon prior study arm randomization</w:t>
      </w:r>
      <w:r>
        <w:t>.</w:t>
      </w:r>
    </w:p>
    <w:p w14:paraId="2248CAD9" w14:textId="77777777" w:rsidR="008E79A6" w:rsidRDefault="008E79A6" w:rsidP="00826D24">
      <w:pPr>
        <w:pStyle w:val="NormalWeb"/>
        <w:spacing w:before="0" w:beforeAutospacing="0" w:after="120" w:afterAutospacing="0"/>
        <w:jc w:val="both"/>
        <w:rPr>
          <w:rFonts w:ascii="Times" w:hAnsi="Times"/>
          <w:bCs/>
          <w:color w:val="000000"/>
        </w:rPr>
      </w:pPr>
    </w:p>
    <w:p w14:paraId="0C25D3BE" w14:textId="45EC83AA" w:rsidR="008E79A6" w:rsidRDefault="00B0783D" w:rsidP="004B035C">
      <w:pPr>
        <w:pStyle w:val="NormalWeb"/>
        <w:spacing w:before="0" w:beforeAutospacing="0" w:after="120" w:afterAutospacing="0"/>
        <w:jc w:val="both"/>
        <w:rPr>
          <w:rFonts w:ascii="Times" w:hAnsi="Times"/>
          <w:b/>
          <w:bCs/>
          <w:color w:val="000000"/>
        </w:rPr>
      </w:pPr>
      <w:r>
        <w:rPr>
          <w:rFonts w:ascii="Times" w:hAnsi="Times"/>
          <w:bCs/>
          <w:color w:val="000000"/>
        </w:rPr>
        <w:t xml:space="preserve"> </w:t>
      </w:r>
      <w:proofErr w:type="gramStart"/>
      <w:r w:rsidR="00CD1E6A">
        <w:rPr>
          <w:rFonts w:ascii="Times" w:hAnsi="Times"/>
          <w:b/>
          <w:bCs/>
          <w:color w:val="000000"/>
        </w:rPr>
        <w:t xml:space="preserve">4.0 </w:t>
      </w:r>
      <w:r w:rsidRPr="00B0783D">
        <w:rPr>
          <w:rFonts w:ascii="Times" w:hAnsi="Times"/>
          <w:b/>
          <w:bCs/>
          <w:color w:val="000000"/>
        </w:rPr>
        <w:t xml:space="preserve"> Patient</w:t>
      </w:r>
      <w:proofErr w:type="gramEnd"/>
      <w:r w:rsidRPr="00B0783D">
        <w:rPr>
          <w:rFonts w:ascii="Times" w:hAnsi="Times"/>
          <w:b/>
          <w:bCs/>
          <w:color w:val="000000"/>
        </w:rPr>
        <w:t xml:space="preserve"> Procedures for Rapamycin Administration</w:t>
      </w:r>
    </w:p>
    <w:p w14:paraId="2238D9A5" w14:textId="4BBC7717" w:rsidR="008E79A6" w:rsidRDefault="008E79A6" w:rsidP="00826D24">
      <w:pPr>
        <w:pStyle w:val="NormalWeb"/>
        <w:spacing w:before="0" w:beforeAutospacing="0" w:after="0" w:afterAutospacing="0"/>
        <w:jc w:val="both"/>
        <w:rPr>
          <w:rFonts w:ascii="Times" w:hAnsi="Times"/>
          <w:b/>
          <w:bCs/>
          <w:color w:val="000000"/>
        </w:rPr>
      </w:pPr>
      <w:r>
        <w:rPr>
          <w:rFonts w:ascii="Times" w:hAnsi="Times"/>
          <w:b/>
          <w:bCs/>
          <w:color w:val="000000"/>
        </w:rPr>
        <w:tab/>
        <w:t xml:space="preserve">4.1 Rapamycin Administration </w:t>
      </w:r>
    </w:p>
    <w:p w14:paraId="27519ABA" w14:textId="14B9B050" w:rsidR="008E79A6" w:rsidRDefault="008E79A6" w:rsidP="00826D24">
      <w:pPr>
        <w:pStyle w:val="NormalWeb"/>
        <w:spacing w:before="0" w:beforeAutospacing="0" w:after="0" w:afterAutospacing="0"/>
        <w:ind w:left="720"/>
        <w:jc w:val="both"/>
        <w:rPr>
          <w:rFonts w:ascii="Times" w:hAnsi="Times"/>
        </w:rPr>
      </w:pPr>
      <w:r w:rsidRPr="00B33834">
        <w:rPr>
          <w:rFonts w:ascii="Times" w:hAnsi="Times"/>
        </w:rPr>
        <w:t xml:space="preserve">Following </w:t>
      </w:r>
      <w:r w:rsidR="00075AFC">
        <w:rPr>
          <w:rFonts w:ascii="Times" w:hAnsi="Times"/>
        </w:rPr>
        <w:t xml:space="preserve">thorough physical examination, 3-view thoracic radiographs, </w:t>
      </w:r>
      <w:r w:rsidRPr="00B33834">
        <w:rPr>
          <w:rFonts w:ascii="Times" w:hAnsi="Times"/>
        </w:rPr>
        <w:t>and blood collections, dogs will initiate rapamycin therapy</w:t>
      </w:r>
      <w:r w:rsidR="00075AFC">
        <w:rPr>
          <w:rFonts w:ascii="Times" w:hAnsi="Times"/>
        </w:rPr>
        <w:t xml:space="preserve"> no later than 7 days following </w:t>
      </w:r>
      <w:r w:rsidR="008F0B4D">
        <w:rPr>
          <w:rFonts w:ascii="Times" w:hAnsi="Times"/>
        </w:rPr>
        <w:t>Week 15</w:t>
      </w:r>
      <w:r w:rsidR="00075AFC">
        <w:rPr>
          <w:rFonts w:ascii="Times" w:hAnsi="Times"/>
        </w:rPr>
        <w:t xml:space="preserve"> reevaluation</w:t>
      </w:r>
      <w:r w:rsidRPr="00B33834">
        <w:rPr>
          <w:rFonts w:ascii="Times" w:hAnsi="Times"/>
        </w:rPr>
        <w:t>.</w:t>
      </w:r>
      <w:r w:rsidR="008F0B4D">
        <w:rPr>
          <w:rFonts w:ascii="Times" w:hAnsi="Times"/>
        </w:rPr>
        <w:t xml:space="preserve"> In context of rapamycin treatment cycles,</w:t>
      </w:r>
      <w:r w:rsidRPr="00B33834">
        <w:rPr>
          <w:rFonts w:ascii="Times" w:hAnsi="Times"/>
        </w:rPr>
        <w:t xml:space="preserve"> </w:t>
      </w:r>
      <w:r w:rsidR="008F0B4D">
        <w:rPr>
          <w:rFonts w:ascii="Times" w:hAnsi="Times"/>
        </w:rPr>
        <w:t>d</w:t>
      </w:r>
      <w:r w:rsidRPr="00B33834">
        <w:rPr>
          <w:rFonts w:ascii="Times" w:hAnsi="Times"/>
        </w:rPr>
        <w:t xml:space="preserve">ogs will receive oral rapamycin initially on Day 1 at the </w:t>
      </w:r>
      <w:r w:rsidRPr="00FA5872">
        <w:rPr>
          <w:rFonts w:ascii="Times" w:hAnsi="Times"/>
        </w:rPr>
        <w:t xml:space="preserve">COTC site. </w:t>
      </w:r>
      <w:r w:rsidR="008F0B4D">
        <w:rPr>
          <w:rFonts w:ascii="Times" w:hAnsi="Times"/>
        </w:rPr>
        <w:t>Dogs</w:t>
      </w:r>
      <w:r w:rsidR="008F0B4D" w:rsidRPr="00FA5872">
        <w:rPr>
          <w:rFonts w:ascii="Times" w:hAnsi="Times"/>
        </w:rPr>
        <w:t xml:space="preserve"> </w:t>
      </w:r>
      <w:r w:rsidRPr="00FA5872">
        <w:rPr>
          <w:rFonts w:ascii="Times" w:hAnsi="Times"/>
        </w:rPr>
        <w:t>will subsequently receive oral rapamycin at home (via owner administration) during study participation.  Pet owners will be instructed to wear disposable latex gloves when handling rapamycin tablets to minimize any risks associated with rapamycin’s immunosuppressive properties. Owners will be instructed to administer drug in the mornings after a minimum of four hours fasting and allowed to feed</w:t>
      </w:r>
      <w:r w:rsidRPr="00B33834">
        <w:rPr>
          <w:rFonts w:ascii="Times" w:hAnsi="Times"/>
        </w:rPr>
        <w:t xml:space="preserve"> no sooner than one (1) hour post administration.</w:t>
      </w:r>
    </w:p>
    <w:p w14:paraId="3D595654" w14:textId="77777777" w:rsidR="008E79A6" w:rsidRDefault="008E79A6" w:rsidP="004B035C">
      <w:pPr>
        <w:pStyle w:val="NormalWeb"/>
        <w:spacing w:before="0" w:beforeAutospacing="0" w:after="120" w:afterAutospacing="0"/>
        <w:jc w:val="both"/>
        <w:rPr>
          <w:rFonts w:ascii="Times" w:hAnsi="Times"/>
          <w:b/>
          <w:bCs/>
          <w:color w:val="000000"/>
        </w:rPr>
      </w:pPr>
    </w:p>
    <w:p w14:paraId="7065C65F" w14:textId="7E55F1E5" w:rsidR="00024171" w:rsidRPr="00CD1E6A" w:rsidRDefault="00CD1E6A" w:rsidP="00CD1E6A">
      <w:pPr>
        <w:ind w:left="720"/>
        <w:rPr>
          <w:b/>
          <w:i/>
        </w:rPr>
      </w:pPr>
      <w:r w:rsidRPr="00CD1E6A">
        <w:rPr>
          <w:b/>
        </w:rPr>
        <w:t xml:space="preserve">4.2 </w:t>
      </w:r>
      <w:r w:rsidR="00024171" w:rsidRPr="00CD1E6A">
        <w:rPr>
          <w:b/>
        </w:rPr>
        <w:t>Dosing Regimen</w:t>
      </w:r>
    </w:p>
    <w:p w14:paraId="0B7825B3" w14:textId="60937BEA" w:rsidR="00024171" w:rsidRPr="004B035C" w:rsidRDefault="00024171" w:rsidP="00B0783D">
      <w:pPr>
        <w:ind w:left="720"/>
      </w:pPr>
      <w:r w:rsidRPr="004B035C">
        <w:t>Oral administration of rapamycin will be initiated on Mondays. Owners will be instructed to maintain a diary and adhere to a consistent dosing schedule with rapamycin being administered on an empty stomach and allowed to feed no sooner than one hour after dosing.</w:t>
      </w:r>
    </w:p>
    <w:p w14:paraId="1B4AE8D2" w14:textId="77777777" w:rsidR="00024171" w:rsidRPr="004B035C" w:rsidRDefault="00024171" w:rsidP="00B0783D">
      <w:pPr>
        <w:ind w:left="720"/>
      </w:pPr>
    </w:p>
    <w:p w14:paraId="23D27AE3" w14:textId="1505A52A" w:rsidR="00024171" w:rsidRDefault="00024171" w:rsidP="00B0783D">
      <w:pPr>
        <w:ind w:left="720"/>
      </w:pPr>
      <w:r w:rsidRPr="004B035C">
        <w:t xml:space="preserve">Dosing will occur Monday through Thursday of each week, with NO rapamycin administration on Fridays, Saturdays, or Sundays. </w:t>
      </w:r>
    </w:p>
    <w:p w14:paraId="5D9AA638" w14:textId="77777777" w:rsidR="008E79A6" w:rsidRDefault="008E79A6" w:rsidP="00B0783D">
      <w:pPr>
        <w:ind w:left="720"/>
      </w:pPr>
    </w:p>
    <w:p w14:paraId="4A6726AC" w14:textId="77777777" w:rsidR="00CD1E6A" w:rsidRDefault="008E79A6" w:rsidP="00CD1E6A">
      <w:pPr>
        <w:jc w:val="both"/>
        <w:rPr>
          <w:b/>
        </w:rPr>
      </w:pPr>
      <w:r>
        <w:tab/>
      </w:r>
      <w:r w:rsidR="00CD1E6A">
        <w:rPr>
          <w:b/>
        </w:rPr>
        <w:t xml:space="preserve">4.3 </w:t>
      </w:r>
      <w:r w:rsidRPr="00955AF6">
        <w:rPr>
          <w:b/>
        </w:rPr>
        <w:t xml:space="preserve">Patient Procedures </w:t>
      </w:r>
    </w:p>
    <w:p w14:paraId="0F8D7DE8" w14:textId="1FDCD21F" w:rsidR="001C3EF2" w:rsidRPr="00B33834" w:rsidRDefault="001C3EF2" w:rsidP="00826D24">
      <w:pPr>
        <w:pStyle w:val="NormalWeb"/>
        <w:spacing w:before="0" w:beforeAutospacing="0" w:after="0" w:afterAutospacing="0"/>
        <w:ind w:left="720"/>
        <w:jc w:val="both"/>
        <w:rPr>
          <w:rFonts w:ascii="Times" w:hAnsi="Times"/>
          <w:bCs/>
          <w:color w:val="000000"/>
        </w:rPr>
      </w:pPr>
      <w:r>
        <w:rPr>
          <w:rFonts w:ascii="Times" w:hAnsi="Times"/>
        </w:rPr>
        <w:tab/>
      </w:r>
      <w:r w:rsidRPr="005C7061">
        <w:rPr>
          <w:rFonts w:ascii="Times" w:hAnsi="Times"/>
        </w:rPr>
        <w:t>4.3.1</w:t>
      </w:r>
      <w:r>
        <w:rPr>
          <w:rFonts w:ascii="Times" w:hAnsi="Times"/>
        </w:rPr>
        <w:tab/>
      </w:r>
      <w:r w:rsidR="003203E7">
        <w:rPr>
          <w:rFonts w:ascii="Times" w:hAnsi="Times"/>
        </w:rPr>
        <w:t xml:space="preserve">Oral administration of rapamycin will be initiated on Monday (Day 1). Owners will be </w:t>
      </w:r>
      <w:r w:rsidR="003203E7">
        <w:rPr>
          <w:rFonts w:ascii="Times" w:hAnsi="Times"/>
        </w:rPr>
        <w:tab/>
      </w:r>
      <w:r w:rsidR="003203E7">
        <w:rPr>
          <w:rFonts w:ascii="Times" w:hAnsi="Times"/>
        </w:rPr>
        <w:tab/>
      </w:r>
      <w:r w:rsidR="003203E7">
        <w:rPr>
          <w:rFonts w:ascii="Times" w:hAnsi="Times"/>
        </w:rPr>
        <w:tab/>
        <w:t xml:space="preserve">sent home with rapamycin for the first 11 days of treatment. </w:t>
      </w:r>
    </w:p>
    <w:p w14:paraId="2F37F488" w14:textId="57F52FA0" w:rsidR="001C3EF2" w:rsidRPr="001C3EF2" w:rsidRDefault="001C3EF2" w:rsidP="00826D24">
      <w:pPr>
        <w:pStyle w:val="NormalWeb"/>
        <w:numPr>
          <w:ilvl w:val="1"/>
          <w:numId w:val="33"/>
        </w:numPr>
        <w:spacing w:before="0" w:beforeAutospacing="0" w:after="0" w:afterAutospacing="0"/>
        <w:jc w:val="both"/>
        <w:rPr>
          <w:rFonts w:ascii="Times" w:hAnsi="Times"/>
          <w:bCs/>
          <w:color w:val="000000"/>
        </w:rPr>
      </w:pPr>
      <w:r w:rsidRPr="003203E7">
        <w:rPr>
          <w:rFonts w:ascii="Times" w:hAnsi="Times"/>
        </w:rPr>
        <w:t>2</w:t>
      </w:r>
      <w:r w:rsidRPr="005C7061">
        <w:rPr>
          <w:rFonts w:ascii="Times" w:hAnsi="Times"/>
          <w:b/>
        </w:rPr>
        <w:t xml:space="preserve"> </w:t>
      </w:r>
      <w:r w:rsidRPr="005C7061">
        <w:rPr>
          <w:rFonts w:ascii="Times" w:hAnsi="Times"/>
          <w:b/>
        </w:rPr>
        <w:tab/>
      </w:r>
      <w:r w:rsidR="003203E7">
        <w:rPr>
          <w:rFonts w:ascii="Times" w:hAnsi="Times"/>
        </w:rPr>
        <w:t>O</w:t>
      </w:r>
      <w:r w:rsidRPr="00B33834">
        <w:rPr>
          <w:rFonts w:ascii="Times" w:hAnsi="Times"/>
        </w:rPr>
        <w:t xml:space="preserve">wners will be instructed to </w:t>
      </w:r>
      <w:r>
        <w:rPr>
          <w:rFonts w:ascii="Times" w:hAnsi="Times"/>
        </w:rPr>
        <w:tab/>
      </w:r>
      <w:r w:rsidRPr="00B33834">
        <w:rPr>
          <w:rFonts w:ascii="Times" w:hAnsi="Times"/>
        </w:rPr>
        <w:t xml:space="preserve">contact the COTC site if any unusual/adverse events occur </w:t>
      </w:r>
      <w:r w:rsidR="003203E7">
        <w:rPr>
          <w:rFonts w:ascii="Times" w:hAnsi="Times"/>
        </w:rPr>
        <w:tab/>
      </w:r>
      <w:r w:rsidRPr="00B33834">
        <w:rPr>
          <w:rFonts w:ascii="Times" w:hAnsi="Times"/>
        </w:rPr>
        <w:t xml:space="preserve">once a patient is discharged. If adverse events are seen, the patient should return </w:t>
      </w:r>
      <w:r w:rsidR="003203E7">
        <w:rPr>
          <w:rFonts w:ascii="Times" w:hAnsi="Times"/>
        </w:rPr>
        <w:tab/>
      </w:r>
      <w:r w:rsidRPr="00B33834">
        <w:rPr>
          <w:rFonts w:ascii="Times" w:hAnsi="Times"/>
        </w:rPr>
        <w:t xml:space="preserve">immediately for evaluation.  Owners </w:t>
      </w:r>
      <w:r>
        <w:rPr>
          <w:rFonts w:ascii="Times" w:hAnsi="Times"/>
        </w:rPr>
        <w:tab/>
      </w:r>
      <w:r w:rsidRPr="00B33834">
        <w:rPr>
          <w:rFonts w:ascii="Times" w:hAnsi="Times"/>
        </w:rPr>
        <w:t>will complete the</w:t>
      </w:r>
      <w:r w:rsidRPr="00B33834">
        <w:rPr>
          <w:rFonts w:ascii="Times" w:hAnsi="Times"/>
          <w:i/>
        </w:rPr>
        <w:t xml:space="preserve"> Owner </w:t>
      </w:r>
      <w:r w:rsidRPr="00B33834">
        <w:rPr>
          <w:rFonts w:ascii="Times" w:hAnsi="Times"/>
          <w:i/>
        </w:rPr>
        <w:lastRenderedPageBreak/>
        <w:t xml:space="preserve">Assessment Form </w:t>
      </w:r>
      <w:r w:rsidRPr="00B33834">
        <w:rPr>
          <w:rFonts w:ascii="Times" w:hAnsi="Times"/>
        </w:rPr>
        <w:t xml:space="preserve">to </w:t>
      </w:r>
      <w:r w:rsidR="003203E7">
        <w:rPr>
          <w:rFonts w:ascii="Times" w:hAnsi="Times"/>
        </w:rPr>
        <w:tab/>
      </w:r>
      <w:r w:rsidRPr="00B33834">
        <w:rPr>
          <w:rFonts w:ascii="Times" w:hAnsi="Times"/>
        </w:rPr>
        <w:t xml:space="preserve">record their impressions of their dogs’ clinical status and confirm drug </w:t>
      </w:r>
      <w:r w:rsidR="003203E7">
        <w:rPr>
          <w:rFonts w:ascii="Times" w:hAnsi="Times"/>
        </w:rPr>
        <w:tab/>
      </w:r>
      <w:r w:rsidRPr="00B33834">
        <w:rPr>
          <w:rFonts w:ascii="Times" w:hAnsi="Times"/>
        </w:rPr>
        <w:t xml:space="preserve">administration </w:t>
      </w:r>
      <w:r w:rsidR="007821E4">
        <w:rPr>
          <w:rFonts w:ascii="Times" w:hAnsi="Times"/>
        </w:rPr>
        <w:tab/>
      </w:r>
      <w:r w:rsidRPr="00B33834">
        <w:rPr>
          <w:rFonts w:ascii="Times" w:hAnsi="Times"/>
        </w:rPr>
        <w:t xml:space="preserve">during the study period. </w:t>
      </w:r>
      <w:r w:rsidRPr="00B33834">
        <w:rPr>
          <w:rFonts w:ascii="Times" w:hAnsi="Times"/>
          <w:i/>
        </w:rPr>
        <w:t xml:space="preserve">Owner Assessment Forms will be submitted </w:t>
      </w:r>
      <w:r w:rsidR="003203E7">
        <w:rPr>
          <w:rFonts w:ascii="Times" w:hAnsi="Times"/>
          <w:i/>
        </w:rPr>
        <w:tab/>
      </w:r>
      <w:r w:rsidRPr="00B33834">
        <w:rPr>
          <w:rFonts w:ascii="Times" w:hAnsi="Times"/>
          <w:i/>
        </w:rPr>
        <w:t xml:space="preserve">for review at </w:t>
      </w:r>
      <w:r w:rsidR="007821E4">
        <w:rPr>
          <w:rFonts w:ascii="Times" w:hAnsi="Times"/>
          <w:i/>
        </w:rPr>
        <w:tab/>
      </w:r>
      <w:r w:rsidRPr="00B33834">
        <w:rPr>
          <w:rFonts w:ascii="Times" w:hAnsi="Times"/>
          <w:i/>
        </w:rPr>
        <w:t>each visit</w:t>
      </w:r>
      <w:r w:rsidRPr="00B33834">
        <w:rPr>
          <w:rFonts w:ascii="Times" w:hAnsi="Times"/>
        </w:rPr>
        <w:t xml:space="preserve"> during the</w:t>
      </w:r>
      <w:r>
        <w:rPr>
          <w:rFonts w:ascii="Times" w:hAnsi="Times"/>
        </w:rPr>
        <w:t xml:space="preserve"> </w:t>
      </w:r>
      <w:r w:rsidRPr="00B33834">
        <w:rPr>
          <w:rFonts w:ascii="Times" w:hAnsi="Times"/>
        </w:rPr>
        <w:t>study perio</w:t>
      </w:r>
      <w:r>
        <w:rPr>
          <w:rFonts w:ascii="Times" w:hAnsi="Times"/>
        </w:rPr>
        <w:t xml:space="preserve">d. </w:t>
      </w:r>
    </w:p>
    <w:p w14:paraId="5872D4F3" w14:textId="47BCED8F" w:rsidR="001C3EF2" w:rsidRDefault="00023C06" w:rsidP="00826D24">
      <w:pPr>
        <w:pStyle w:val="NormalWeb"/>
        <w:numPr>
          <w:ilvl w:val="2"/>
          <w:numId w:val="35"/>
        </w:numPr>
        <w:spacing w:before="0" w:beforeAutospacing="0" w:after="0" w:afterAutospacing="0"/>
        <w:jc w:val="both"/>
        <w:rPr>
          <w:rFonts w:ascii="Times" w:hAnsi="Times"/>
          <w:bCs/>
          <w:color w:val="000000"/>
        </w:rPr>
      </w:pPr>
      <w:r>
        <w:rPr>
          <w:rFonts w:ascii="Times" w:hAnsi="Times"/>
        </w:rPr>
        <w:t>On</w:t>
      </w:r>
      <w:r w:rsidRPr="001C3EF2">
        <w:rPr>
          <w:rFonts w:ascii="Times" w:hAnsi="Times"/>
        </w:rPr>
        <w:t xml:space="preserve"> </w:t>
      </w:r>
      <w:r w:rsidR="001C3EF2" w:rsidRPr="001C3EF2">
        <w:rPr>
          <w:rFonts w:ascii="Times" w:hAnsi="Times"/>
        </w:rPr>
        <w:t xml:space="preserve">Day </w:t>
      </w:r>
      <w:r w:rsidR="003203E7">
        <w:rPr>
          <w:rFonts w:ascii="Times" w:hAnsi="Times"/>
        </w:rPr>
        <w:t>11(</w:t>
      </w:r>
      <w:r w:rsidR="007A1B4B">
        <w:rPr>
          <w:rFonts w:ascii="Times" w:hAnsi="Times"/>
        </w:rPr>
        <w:t>Thursday</w:t>
      </w:r>
      <w:r w:rsidR="003203E7">
        <w:rPr>
          <w:rFonts w:ascii="Times" w:hAnsi="Times"/>
        </w:rPr>
        <w:t>)</w:t>
      </w:r>
      <w:r w:rsidR="001C3EF2" w:rsidRPr="001C3EF2">
        <w:rPr>
          <w:rFonts w:ascii="Times" w:hAnsi="Times"/>
        </w:rPr>
        <w:t xml:space="preserve"> re-evaluation at the COTC member site is required</w:t>
      </w:r>
      <w:r>
        <w:rPr>
          <w:rFonts w:ascii="Times" w:hAnsi="Times"/>
        </w:rPr>
        <w:t xml:space="preserve"> prior to rapamycin administration</w:t>
      </w:r>
      <w:r w:rsidR="001C3EF2" w:rsidRPr="001C3EF2" w:rsidDel="007637A3">
        <w:rPr>
          <w:rFonts w:ascii="Times" w:hAnsi="Times"/>
        </w:rPr>
        <w:t xml:space="preserve">. </w:t>
      </w:r>
      <w:r w:rsidR="001C3EF2" w:rsidRPr="001C3EF2">
        <w:rPr>
          <w:rFonts w:ascii="Times" w:hAnsi="Times"/>
        </w:rPr>
        <w:t xml:space="preserve"> Dogs should be fasted prior to presentation. A baseline whole blood sample</w:t>
      </w:r>
      <w:r w:rsidR="00583B94">
        <w:rPr>
          <w:rFonts w:ascii="Times" w:hAnsi="Times"/>
        </w:rPr>
        <w:t xml:space="preserve"> (Time 0, trough)</w:t>
      </w:r>
      <w:r w:rsidR="001C3EF2" w:rsidRPr="001C3EF2">
        <w:rPr>
          <w:rFonts w:ascii="Times" w:hAnsi="Times"/>
        </w:rPr>
        <w:t xml:space="preserve"> will be collected </w:t>
      </w:r>
      <w:r w:rsidR="00583B94">
        <w:rPr>
          <w:rFonts w:ascii="Times" w:hAnsi="Times"/>
        </w:rPr>
        <w:t xml:space="preserve">first, and then </w:t>
      </w:r>
      <w:r w:rsidR="001C3EF2" w:rsidRPr="001C3EF2">
        <w:rPr>
          <w:rFonts w:ascii="Times" w:hAnsi="Times"/>
        </w:rPr>
        <w:t>followed by rapamycin administration</w:t>
      </w:r>
      <w:r>
        <w:rPr>
          <w:rFonts w:ascii="Times" w:hAnsi="Times"/>
        </w:rPr>
        <w:t xml:space="preserve"> in-house by the COTC study coordinators</w:t>
      </w:r>
      <w:r w:rsidR="001C3EF2" w:rsidRPr="001C3EF2">
        <w:rPr>
          <w:rFonts w:ascii="Times" w:hAnsi="Times"/>
        </w:rPr>
        <w:t xml:space="preserve">. Whole blood will then be collected for a </w:t>
      </w:r>
      <w:r w:rsidR="00583B94">
        <w:rPr>
          <w:rFonts w:ascii="Times" w:hAnsi="Times"/>
        </w:rPr>
        <w:t>6</w:t>
      </w:r>
      <w:r w:rsidR="001C3EF2" w:rsidRPr="001C3EF2">
        <w:rPr>
          <w:rFonts w:ascii="Times" w:hAnsi="Times"/>
        </w:rPr>
        <w:t>-point PK analysis</w:t>
      </w:r>
      <w:r w:rsidR="003203E7">
        <w:rPr>
          <w:rFonts w:ascii="Times" w:hAnsi="Times"/>
        </w:rPr>
        <w:t xml:space="preserve"> over 24 hours</w:t>
      </w:r>
      <w:r w:rsidR="001C3EF2" w:rsidRPr="001C3EF2">
        <w:rPr>
          <w:rFonts w:ascii="Times" w:hAnsi="Times"/>
        </w:rPr>
        <w:t>. PK samples will be shipped at the end of the study.</w:t>
      </w:r>
      <w:r w:rsidR="003203E7">
        <w:rPr>
          <w:rFonts w:ascii="Times" w:hAnsi="Times"/>
        </w:rPr>
        <w:t xml:space="preserve"> Dogs will be discharged on Day 12 (Friday) to their owners.</w:t>
      </w:r>
    </w:p>
    <w:p w14:paraId="5456A857" w14:textId="123405EA" w:rsidR="003203E7" w:rsidRDefault="00023C06" w:rsidP="00826D24">
      <w:pPr>
        <w:pStyle w:val="NormalWeb"/>
        <w:numPr>
          <w:ilvl w:val="2"/>
          <w:numId w:val="35"/>
        </w:numPr>
        <w:spacing w:before="0" w:beforeAutospacing="0" w:after="0" w:afterAutospacing="0"/>
        <w:jc w:val="both"/>
        <w:rPr>
          <w:rFonts w:ascii="Times" w:hAnsi="Times"/>
          <w:bCs/>
          <w:color w:val="000000"/>
        </w:rPr>
      </w:pPr>
      <w:r>
        <w:rPr>
          <w:rFonts w:ascii="Times" w:hAnsi="Times"/>
        </w:rPr>
        <w:t>On</w:t>
      </w:r>
      <w:r w:rsidRPr="001C3EF2">
        <w:rPr>
          <w:rFonts w:ascii="Times" w:hAnsi="Times"/>
        </w:rPr>
        <w:t xml:space="preserve"> </w:t>
      </w:r>
      <w:r w:rsidR="003203E7" w:rsidRPr="001C3EF2">
        <w:rPr>
          <w:rFonts w:ascii="Times" w:hAnsi="Times"/>
        </w:rPr>
        <w:t xml:space="preserve">Day </w:t>
      </w:r>
      <w:r w:rsidR="003203E7">
        <w:rPr>
          <w:rFonts w:ascii="Times" w:hAnsi="Times"/>
        </w:rPr>
        <w:t>25 (Thursday)</w:t>
      </w:r>
      <w:r w:rsidR="003203E7" w:rsidRPr="001C3EF2">
        <w:rPr>
          <w:rFonts w:ascii="Times" w:hAnsi="Times"/>
        </w:rPr>
        <w:t xml:space="preserve"> re-evaluation at the COTC member site is required</w:t>
      </w:r>
      <w:r>
        <w:rPr>
          <w:rFonts w:ascii="Times" w:hAnsi="Times"/>
        </w:rPr>
        <w:t xml:space="preserve"> prior to rapamycin administration</w:t>
      </w:r>
      <w:r w:rsidR="003203E7" w:rsidRPr="001C3EF2" w:rsidDel="007637A3">
        <w:rPr>
          <w:rFonts w:ascii="Times" w:hAnsi="Times"/>
        </w:rPr>
        <w:t xml:space="preserve">. </w:t>
      </w:r>
      <w:r w:rsidR="003203E7" w:rsidRPr="001C3EF2">
        <w:rPr>
          <w:rFonts w:ascii="Times" w:hAnsi="Times"/>
        </w:rPr>
        <w:t xml:space="preserve"> </w:t>
      </w:r>
      <w:r>
        <w:rPr>
          <w:rFonts w:ascii="Times" w:hAnsi="Times"/>
        </w:rPr>
        <w:t xml:space="preserve">A </w:t>
      </w:r>
      <w:r w:rsidR="003203E7">
        <w:rPr>
          <w:rFonts w:ascii="Times" w:hAnsi="Times"/>
        </w:rPr>
        <w:t xml:space="preserve">CBC, chemistry profile, and UA will be collected and submitted in-house. </w:t>
      </w:r>
      <w:r w:rsidR="003203E7" w:rsidRPr="001C3EF2">
        <w:rPr>
          <w:rFonts w:ascii="Times" w:hAnsi="Times"/>
        </w:rPr>
        <w:t xml:space="preserve">Dogs should be fasted prior to presentation. A baseline whole blood sample </w:t>
      </w:r>
      <w:r w:rsidR="00583B94">
        <w:rPr>
          <w:rFonts w:ascii="Times" w:hAnsi="Times"/>
        </w:rPr>
        <w:t xml:space="preserve">(Time 0, trough) </w:t>
      </w:r>
      <w:r w:rsidR="003203E7" w:rsidRPr="001C3EF2">
        <w:rPr>
          <w:rFonts w:ascii="Times" w:hAnsi="Times"/>
        </w:rPr>
        <w:t>will be collected</w:t>
      </w:r>
      <w:r w:rsidR="00583B94">
        <w:rPr>
          <w:rFonts w:ascii="Times" w:hAnsi="Times"/>
        </w:rPr>
        <w:t xml:space="preserve"> first, and then</w:t>
      </w:r>
      <w:r w:rsidR="003203E7" w:rsidRPr="001C3EF2">
        <w:rPr>
          <w:rFonts w:ascii="Times" w:hAnsi="Times"/>
        </w:rPr>
        <w:t xml:space="preserve"> followed by rapamycin administration</w:t>
      </w:r>
      <w:r>
        <w:rPr>
          <w:rFonts w:ascii="Times" w:hAnsi="Times"/>
        </w:rPr>
        <w:t xml:space="preserve"> in-house by the COTC study coordinators</w:t>
      </w:r>
      <w:r w:rsidR="003203E7" w:rsidRPr="001C3EF2">
        <w:rPr>
          <w:rFonts w:ascii="Times" w:hAnsi="Times"/>
        </w:rPr>
        <w:t xml:space="preserve">. Whole blood will then be collected for a </w:t>
      </w:r>
      <w:r w:rsidR="00583B94">
        <w:rPr>
          <w:rFonts w:ascii="Times" w:hAnsi="Times"/>
        </w:rPr>
        <w:t>6</w:t>
      </w:r>
      <w:r w:rsidR="003203E7" w:rsidRPr="001C3EF2">
        <w:rPr>
          <w:rFonts w:ascii="Times" w:hAnsi="Times"/>
        </w:rPr>
        <w:t>-point PK analysis</w:t>
      </w:r>
      <w:r w:rsidR="003203E7">
        <w:rPr>
          <w:rFonts w:ascii="Times" w:hAnsi="Times"/>
        </w:rPr>
        <w:t xml:space="preserve"> over 24 hours</w:t>
      </w:r>
      <w:r w:rsidR="003203E7" w:rsidRPr="001C3EF2">
        <w:rPr>
          <w:rFonts w:ascii="Times" w:hAnsi="Times"/>
        </w:rPr>
        <w:t>. PK samples will be shipped at the end of the study.</w:t>
      </w:r>
      <w:r w:rsidR="003203E7">
        <w:rPr>
          <w:rFonts w:ascii="Times" w:hAnsi="Times"/>
        </w:rPr>
        <w:t xml:space="preserve"> Dogs will be discharged on Day 26 (Friday) to their owners.</w:t>
      </w:r>
    </w:p>
    <w:p w14:paraId="0AE33B1A" w14:textId="6CAF5428" w:rsidR="001C3EF2" w:rsidRDefault="001C3EF2" w:rsidP="00826D24">
      <w:pPr>
        <w:pStyle w:val="NormalWeb"/>
        <w:numPr>
          <w:ilvl w:val="2"/>
          <w:numId w:val="35"/>
        </w:numPr>
        <w:spacing w:before="0" w:beforeAutospacing="0" w:after="0" w:afterAutospacing="0"/>
        <w:jc w:val="both"/>
        <w:rPr>
          <w:rFonts w:ascii="Times" w:hAnsi="Times"/>
          <w:bCs/>
          <w:color w:val="000000"/>
        </w:rPr>
      </w:pPr>
      <w:r w:rsidRPr="001C3EF2">
        <w:rPr>
          <w:rFonts w:ascii="Times" w:hAnsi="Times"/>
        </w:rPr>
        <w:t xml:space="preserve">After the Day 26 evaluation, dogs continue on their assigned schedule of rapamycin therapy. Monthly rechecks </w:t>
      </w:r>
      <w:r w:rsidR="00583B94">
        <w:rPr>
          <w:rFonts w:ascii="Times" w:hAnsi="Times"/>
        </w:rPr>
        <w:t xml:space="preserve">(Cycles 2, 3, and 4) </w:t>
      </w:r>
      <w:r w:rsidRPr="001C3EF2">
        <w:rPr>
          <w:rFonts w:ascii="Times" w:hAnsi="Times"/>
        </w:rPr>
        <w:t xml:space="preserve">are required as per study schema (Table </w:t>
      </w:r>
      <w:r w:rsidR="003203E7">
        <w:rPr>
          <w:rFonts w:ascii="Times" w:hAnsi="Times"/>
        </w:rPr>
        <w:t>IV</w:t>
      </w:r>
      <w:r w:rsidRPr="001C3EF2">
        <w:rPr>
          <w:rFonts w:ascii="Times" w:hAnsi="Times"/>
        </w:rPr>
        <w:t>)</w:t>
      </w:r>
      <w:r w:rsidR="003203E7">
        <w:rPr>
          <w:rFonts w:ascii="Times" w:hAnsi="Times"/>
        </w:rPr>
        <w:t>.</w:t>
      </w:r>
      <w:r w:rsidRPr="001C3EF2">
        <w:rPr>
          <w:rFonts w:ascii="Times" w:hAnsi="Times"/>
        </w:rPr>
        <w:t xml:space="preserve"> </w:t>
      </w:r>
    </w:p>
    <w:p w14:paraId="149DF7FB" w14:textId="67264AF5" w:rsidR="007B7726" w:rsidRPr="003203E7" w:rsidRDefault="001C3EF2" w:rsidP="00826D24">
      <w:pPr>
        <w:pStyle w:val="NormalWeb"/>
        <w:numPr>
          <w:ilvl w:val="2"/>
          <w:numId w:val="35"/>
        </w:numPr>
        <w:spacing w:before="0" w:beforeAutospacing="0" w:after="0" w:afterAutospacing="0"/>
        <w:jc w:val="both"/>
        <w:rPr>
          <w:rFonts w:ascii="Times" w:hAnsi="Times"/>
          <w:bCs/>
          <w:color w:val="000000"/>
        </w:rPr>
      </w:pPr>
      <w:r w:rsidRPr="001C3EF2">
        <w:rPr>
          <w:rFonts w:ascii="Times" w:hAnsi="Times"/>
        </w:rPr>
        <w:t>Subsequent study periods are defined as 28 days. The treatment interval will continue for up to 4 months in duration, as long as no seve</w:t>
      </w:r>
      <w:r w:rsidR="008B7E84">
        <w:rPr>
          <w:rFonts w:ascii="Times" w:hAnsi="Times"/>
        </w:rPr>
        <w:t>re adverse events are evident</w:t>
      </w:r>
      <w:r w:rsidR="003203E7">
        <w:rPr>
          <w:rFonts w:ascii="Times" w:hAnsi="Times"/>
        </w:rPr>
        <w:t>.</w:t>
      </w:r>
    </w:p>
    <w:p w14:paraId="7B44452F" w14:textId="03E33C24" w:rsidR="00444ACE" w:rsidRDefault="003203E7" w:rsidP="00826D24">
      <w:pPr>
        <w:pStyle w:val="NormalWeb"/>
        <w:numPr>
          <w:ilvl w:val="2"/>
          <w:numId w:val="35"/>
        </w:numPr>
        <w:spacing w:before="0" w:beforeAutospacing="0" w:after="0" w:afterAutospacing="0"/>
        <w:jc w:val="both"/>
        <w:rPr>
          <w:rFonts w:ascii="Times" w:hAnsi="Times"/>
          <w:bCs/>
          <w:color w:val="000000"/>
        </w:rPr>
      </w:pPr>
      <w:r>
        <w:rPr>
          <w:rFonts w:ascii="Times" w:hAnsi="Times"/>
        </w:rPr>
        <w:t>Monthly rechecks on Day 25</w:t>
      </w:r>
      <w:r w:rsidR="00023C06">
        <w:rPr>
          <w:rFonts w:ascii="Times" w:hAnsi="Times"/>
        </w:rPr>
        <w:t xml:space="preserve"> of each respective 28-day dosing cycle (</w:t>
      </w:r>
      <w:r>
        <w:rPr>
          <w:rFonts w:ascii="Times" w:hAnsi="Times"/>
        </w:rPr>
        <w:t>cycles 2, 3, and 4</w:t>
      </w:r>
      <w:r w:rsidR="00023C06">
        <w:rPr>
          <w:rFonts w:ascii="Times" w:hAnsi="Times"/>
        </w:rPr>
        <w:t>)</w:t>
      </w:r>
      <w:r>
        <w:rPr>
          <w:rFonts w:ascii="Times" w:hAnsi="Times"/>
        </w:rPr>
        <w:t xml:space="preserve"> are required</w:t>
      </w:r>
      <w:r w:rsidR="00023C06">
        <w:rPr>
          <w:rFonts w:ascii="Times" w:hAnsi="Times"/>
        </w:rPr>
        <w:t xml:space="preserve"> prior to rapamycin administration</w:t>
      </w:r>
      <w:r>
        <w:rPr>
          <w:rFonts w:ascii="Times" w:hAnsi="Times"/>
        </w:rPr>
        <w:t xml:space="preserve">. </w:t>
      </w:r>
      <w:r w:rsidR="00023C06">
        <w:rPr>
          <w:rFonts w:ascii="Times" w:hAnsi="Times"/>
        </w:rPr>
        <w:t xml:space="preserve">A </w:t>
      </w:r>
      <w:r>
        <w:rPr>
          <w:rFonts w:ascii="Times" w:hAnsi="Times"/>
        </w:rPr>
        <w:t xml:space="preserve">CBC, chemistry profile, and UA will be collected and submitted in-house. </w:t>
      </w:r>
      <w:r w:rsidRPr="001C3EF2">
        <w:rPr>
          <w:rFonts w:ascii="Times" w:hAnsi="Times"/>
        </w:rPr>
        <w:t xml:space="preserve">Dogs should be fasted prior to presentation. A baseline whole blood sample </w:t>
      </w:r>
      <w:r w:rsidR="00583B94">
        <w:rPr>
          <w:rFonts w:ascii="Times" w:hAnsi="Times"/>
        </w:rPr>
        <w:t xml:space="preserve">(Time 0, trough) </w:t>
      </w:r>
      <w:r w:rsidRPr="001C3EF2">
        <w:rPr>
          <w:rFonts w:ascii="Times" w:hAnsi="Times"/>
        </w:rPr>
        <w:t>will be collected</w:t>
      </w:r>
      <w:r w:rsidR="00583B94">
        <w:rPr>
          <w:rFonts w:ascii="Times" w:hAnsi="Times"/>
        </w:rPr>
        <w:t xml:space="preserve"> first, and then</w:t>
      </w:r>
      <w:r w:rsidRPr="001C3EF2">
        <w:rPr>
          <w:rFonts w:ascii="Times" w:hAnsi="Times"/>
        </w:rPr>
        <w:t xml:space="preserve"> followed by rapamycin administration</w:t>
      </w:r>
      <w:r w:rsidR="00023C06">
        <w:rPr>
          <w:rFonts w:ascii="Times" w:hAnsi="Times"/>
        </w:rPr>
        <w:t xml:space="preserve"> in-house by the COTC study coordinators</w:t>
      </w:r>
      <w:r w:rsidRPr="001C3EF2">
        <w:rPr>
          <w:rFonts w:ascii="Times" w:hAnsi="Times"/>
        </w:rPr>
        <w:t xml:space="preserve">. Whole blood will then be collected for a </w:t>
      </w:r>
      <w:r w:rsidR="00583B94">
        <w:rPr>
          <w:rFonts w:ascii="Times" w:hAnsi="Times"/>
        </w:rPr>
        <w:t>6</w:t>
      </w:r>
      <w:r w:rsidRPr="001C3EF2">
        <w:rPr>
          <w:rFonts w:ascii="Times" w:hAnsi="Times"/>
        </w:rPr>
        <w:t>-point PK analysis</w:t>
      </w:r>
      <w:r>
        <w:rPr>
          <w:rFonts w:ascii="Times" w:hAnsi="Times"/>
        </w:rPr>
        <w:t xml:space="preserve"> over 24 hours</w:t>
      </w:r>
      <w:r w:rsidRPr="001C3EF2">
        <w:rPr>
          <w:rFonts w:ascii="Times" w:hAnsi="Times"/>
        </w:rPr>
        <w:t>.</w:t>
      </w:r>
      <w:r>
        <w:rPr>
          <w:rFonts w:ascii="Times" w:hAnsi="Times"/>
        </w:rPr>
        <w:t xml:space="preserve"> Dogs will be discharged on Day 26 (Friday)</w:t>
      </w:r>
      <w:r w:rsidR="00023C06">
        <w:rPr>
          <w:rFonts w:ascii="Times" w:hAnsi="Times"/>
        </w:rPr>
        <w:t xml:space="preserve"> of each respective 28-day dosing cycle (cycles 2, 3, and 4)</w:t>
      </w:r>
      <w:r>
        <w:rPr>
          <w:rFonts w:ascii="Times" w:hAnsi="Times"/>
        </w:rPr>
        <w:t xml:space="preserve"> to their owners.</w:t>
      </w:r>
    </w:p>
    <w:p w14:paraId="26E70A13" w14:textId="3F86DC76" w:rsidR="00444ACE" w:rsidRPr="00444ACE" w:rsidRDefault="00F317A1" w:rsidP="00826D24">
      <w:pPr>
        <w:pStyle w:val="NormalWeb"/>
        <w:numPr>
          <w:ilvl w:val="2"/>
          <w:numId w:val="35"/>
        </w:numPr>
        <w:spacing w:before="0" w:beforeAutospacing="0" w:after="0" w:afterAutospacing="0"/>
        <w:jc w:val="both"/>
        <w:rPr>
          <w:rFonts w:ascii="Times" w:hAnsi="Times"/>
          <w:bCs/>
          <w:color w:val="000000"/>
        </w:rPr>
      </w:pPr>
      <w:r>
        <w:t>Upon completion of PK analysis o</w:t>
      </w:r>
      <w:r w:rsidR="00023C06">
        <w:t xml:space="preserve">n </w:t>
      </w:r>
      <w:r w:rsidR="00444ACE" w:rsidRPr="00444ACE">
        <w:t xml:space="preserve">Day </w:t>
      </w:r>
      <w:r w:rsidR="00583B94" w:rsidRPr="00444ACE">
        <w:t>2</w:t>
      </w:r>
      <w:r w:rsidR="00583B94">
        <w:t>6</w:t>
      </w:r>
      <w:r w:rsidR="00583B94" w:rsidRPr="00444ACE">
        <w:t xml:space="preserve"> </w:t>
      </w:r>
      <w:r w:rsidR="00023C06">
        <w:t xml:space="preserve">of </w:t>
      </w:r>
      <w:r w:rsidR="00444ACE" w:rsidRPr="00444ACE">
        <w:t>cycle 2 and cycle 4</w:t>
      </w:r>
      <w:r w:rsidR="00023C06">
        <w:t>,</w:t>
      </w:r>
      <w:r w:rsidR="00444ACE" w:rsidRPr="00444ACE">
        <w:t xml:space="preserve"> repeat </w:t>
      </w:r>
      <w:r w:rsidR="00023C06">
        <w:t xml:space="preserve">3-view </w:t>
      </w:r>
      <w:r w:rsidR="00444ACE" w:rsidRPr="00444ACE">
        <w:t xml:space="preserve">thoracic radiographs will be completed. </w:t>
      </w:r>
    </w:p>
    <w:p w14:paraId="297DDCF5" w14:textId="77777777" w:rsidR="00043349" w:rsidRPr="00B33834" w:rsidRDefault="00043349" w:rsidP="00043349">
      <w:pPr>
        <w:tabs>
          <w:tab w:val="left" w:pos="0"/>
        </w:tabs>
        <w:ind w:left="720"/>
        <w:jc w:val="both"/>
        <w:rPr>
          <w:b/>
        </w:rPr>
      </w:pPr>
    </w:p>
    <w:p w14:paraId="77962120" w14:textId="49E37C48" w:rsidR="00043349" w:rsidRPr="00B33834" w:rsidRDefault="00203429" w:rsidP="00746CA4">
      <w:pPr>
        <w:rPr>
          <w:b/>
        </w:rPr>
      </w:pPr>
      <w:r>
        <w:rPr>
          <w:b/>
        </w:rPr>
        <w:t xml:space="preserve">            </w:t>
      </w:r>
      <w:r w:rsidR="00CE19D6">
        <w:rPr>
          <w:b/>
        </w:rPr>
        <w:t>4.</w:t>
      </w:r>
      <w:r>
        <w:rPr>
          <w:b/>
        </w:rPr>
        <w:t>4</w:t>
      </w:r>
      <w:r w:rsidR="00043349" w:rsidRPr="00B33834">
        <w:rPr>
          <w:b/>
        </w:rPr>
        <w:t xml:space="preserve"> Study Schedule</w:t>
      </w:r>
    </w:p>
    <w:p w14:paraId="5581BDBD" w14:textId="1B36CC7A" w:rsidR="00043349" w:rsidRDefault="00043349" w:rsidP="00043349">
      <w:pPr>
        <w:tabs>
          <w:tab w:val="left" w:pos="0"/>
        </w:tabs>
        <w:ind w:left="720"/>
        <w:jc w:val="both"/>
      </w:pPr>
      <w:r w:rsidRPr="00B33834">
        <w:t xml:space="preserve">Pretreatment evaluations </w:t>
      </w:r>
      <w:r w:rsidR="003203E7">
        <w:t xml:space="preserve">(week 15 of SOC protocol) </w:t>
      </w:r>
      <w:r w:rsidRPr="00B33834">
        <w:t xml:space="preserve">will be performed within 7 days prior to </w:t>
      </w:r>
      <w:r>
        <w:t xml:space="preserve">initiation of rapamycin therapy </w:t>
      </w:r>
      <w:r w:rsidRPr="00B33834">
        <w:t xml:space="preserve">and will include baseline examination, </w:t>
      </w:r>
      <w:r w:rsidR="00F317A1">
        <w:t xml:space="preserve">3-view </w:t>
      </w:r>
      <w:r w:rsidRPr="00B33834">
        <w:t>thoracic radiographs</w:t>
      </w:r>
      <w:r w:rsidR="000A7E0D">
        <w:t>, and lab work</w:t>
      </w:r>
      <w:r w:rsidRPr="00B33834">
        <w:t>.</w:t>
      </w:r>
      <w:r w:rsidR="000A7E0D">
        <w:t xml:space="preserve"> Rapam</w:t>
      </w:r>
      <w:r w:rsidR="007A1B4B">
        <w:t>ycin</w:t>
      </w:r>
      <w:r w:rsidR="000A7E0D">
        <w:t xml:space="preserve"> therapy will begin on a Monday (Day 1). </w:t>
      </w:r>
      <w:r w:rsidRPr="00B33834">
        <w:t xml:space="preserve">  </w:t>
      </w:r>
      <w:r w:rsidR="000A7E0D">
        <w:t xml:space="preserve">Planned rapamycin treatment interval is 4 cycles (total of 16 weeks or 112 days). Rapamycin therapy will begin </w:t>
      </w:r>
      <w:r w:rsidR="00224FF8">
        <w:t xml:space="preserve">within a maximum of 7 days following </w:t>
      </w:r>
      <w:r w:rsidR="000A7E0D">
        <w:t xml:space="preserve">Week </w:t>
      </w:r>
      <w:r w:rsidR="009C486A">
        <w:t xml:space="preserve">15 </w:t>
      </w:r>
      <w:r w:rsidR="000A7E0D">
        <w:t>of the global study schedule.</w:t>
      </w:r>
    </w:p>
    <w:p w14:paraId="6D58D1E6" w14:textId="77777777" w:rsidR="00043349" w:rsidRDefault="00043349" w:rsidP="00043349">
      <w:pPr>
        <w:tabs>
          <w:tab w:val="left" w:pos="0"/>
        </w:tabs>
        <w:ind w:left="720"/>
        <w:jc w:val="both"/>
      </w:pPr>
    </w:p>
    <w:p w14:paraId="7EBF1EC2" w14:textId="77777777" w:rsidR="000A7E0D" w:rsidRDefault="000A7E0D" w:rsidP="00043349">
      <w:pPr>
        <w:tabs>
          <w:tab w:val="left" w:pos="0"/>
        </w:tabs>
        <w:ind w:left="720"/>
        <w:jc w:val="both"/>
      </w:pPr>
    </w:p>
    <w:p w14:paraId="050BEE0B" w14:textId="77777777" w:rsidR="000A7E0D" w:rsidRDefault="000A7E0D" w:rsidP="00043349">
      <w:pPr>
        <w:tabs>
          <w:tab w:val="left" w:pos="0"/>
        </w:tabs>
        <w:ind w:left="720"/>
        <w:jc w:val="both"/>
      </w:pPr>
    </w:p>
    <w:p w14:paraId="5629F0CC" w14:textId="77777777" w:rsidR="00203429" w:rsidRDefault="00203429" w:rsidP="00043349">
      <w:pPr>
        <w:tabs>
          <w:tab w:val="left" w:pos="0"/>
        </w:tabs>
        <w:ind w:left="720"/>
        <w:jc w:val="both"/>
      </w:pPr>
    </w:p>
    <w:p w14:paraId="32258E45" w14:textId="2912DACD" w:rsidR="00043349" w:rsidRPr="000A7E0D" w:rsidRDefault="00043349" w:rsidP="000A7E0D">
      <w:pPr>
        <w:pStyle w:val="Heading4"/>
        <w:tabs>
          <w:tab w:val="left" w:pos="0"/>
        </w:tabs>
        <w:jc w:val="both"/>
        <w:rPr>
          <w:color w:val="000000"/>
          <w:sz w:val="24"/>
          <w:szCs w:val="24"/>
        </w:rPr>
      </w:pPr>
      <w:r w:rsidRPr="00B33834">
        <w:rPr>
          <w:sz w:val="24"/>
          <w:szCs w:val="24"/>
        </w:rPr>
        <w:lastRenderedPageBreak/>
        <w:t>T</w:t>
      </w:r>
      <w:r w:rsidRPr="00B33834">
        <w:rPr>
          <w:color w:val="000000"/>
          <w:sz w:val="24"/>
          <w:szCs w:val="24"/>
        </w:rPr>
        <w:t xml:space="preserve">able </w:t>
      </w:r>
      <w:r w:rsidR="00746CA4">
        <w:rPr>
          <w:color w:val="000000"/>
          <w:sz w:val="24"/>
          <w:szCs w:val="24"/>
        </w:rPr>
        <w:t>II</w:t>
      </w:r>
      <w:r w:rsidRPr="00B33834">
        <w:rPr>
          <w:color w:val="000000"/>
          <w:sz w:val="24"/>
          <w:szCs w:val="24"/>
        </w:rPr>
        <w:t>: Study Schedule</w:t>
      </w:r>
      <w:r>
        <w:rPr>
          <w:color w:val="000000"/>
          <w:sz w:val="24"/>
          <w:szCs w:val="24"/>
        </w:rPr>
        <w:t xml:space="preserve"> </w:t>
      </w:r>
      <w:r w:rsidR="000A7E0D">
        <w:rPr>
          <w:color w:val="000000"/>
          <w:sz w:val="24"/>
          <w:szCs w:val="24"/>
        </w:rPr>
        <w:t>Cycle 1</w:t>
      </w:r>
    </w:p>
    <w:p w14:paraId="7AB15704" w14:textId="77777777" w:rsidR="00043349" w:rsidRPr="00B33834" w:rsidRDefault="00043349" w:rsidP="00043349">
      <w:r>
        <w:tab/>
      </w:r>
    </w:p>
    <w:tbl>
      <w:tblPr>
        <w:tblStyle w:val="TableGrid"/>
        <w:tblW w:w="11016" w:type="dxa"/>
        <w:tblLook w:val="04A0" w:firstRow="1" w:lastRow="0" w:firstColumn="1" w:lastColumn="0" w:noHBand="0" w:noVBand="1"/>
      </w:tblPr>
      <w:tblGrid>
        <w:gridCol w:w="1737"/>
        <w:gridCol w:w="1272"/>
        <w:gridCol w:w="1170"/>
        <w:gridCol w:w="1172"/>
        <w:gridCol w:w="1422"/>
        <w:gridCol w:w="1269"/>
        <w:gridCol w:w="240"/>
        <w:gridCol w:w="1509"/>
        <w:gridCol w:w="1225"/>
      </w:tblGrid>
      <w:tr w:rsidR="00043349" w:rsidRPr="00203429" w14:paraId="5D5AF53C" w14:textId="77777777" w:rsidTr="000A7E0D">
        <w:tc>
          <w:tcPr>
            <w:tcW w:w="1737" w:type="dxa"/>
          </w:tcPr>
          <w:p w14:paraId="00642B4B" w14:textId="77777777" w:rsidR="00043349" w:rsidRPr="00203429" w:rsidRDefault="00043349" w:rsidP="0027717A">
            <w:pPr>
              <w:jc w:val="center"/>
              <w:rPr>
                <w:sz w:val="20"/>
                <w:szCs w:val="20"/>
              </w:rPr>
            </w:pPr>
          </w:p>
        </w:tc>
        <w:tc>
          <w:tcPr>
            <w:tcW w:w="1272" w:type="dxa"/>
          </w:tcPr>
          <w:p w14:paraId="1DDD9305" w14:textId="77777777" w:rsidR="00043349" w:rsidRPr="00203429" w:rsidRDefault="00043349" w:rsidP="0027717A">
            <w:pPr>
              <w:jc w:val="center"/>
              <w:rPr>
                <w:b/>
                <w:sz w:val="20"/>
                <w:szCs w:val="20"/>
              </w:rPr>
            </w:pPr>
            <w:r w:rsidRPr="00203429">
              <w:rPr>
                <w:b/>
                <w:sz w:val="20"/>
                <w:szCs w:val="20"/>
              </w:rPr>
              <w:t>Sunday</w:t>
            </w:r>
          </w:p>
        </w:tc>
        <w:tc>
          <w:tcPr>
            <w:tcW w:w="1170" w:type="dxa"/>
          </w:tcPr>
          <w:p w14:paraId="585DF830" w14:textId="77777777" w:rsidR="00043349" w:rsidRPr="00203429" w:rsidRDefault="00043349" w:rsidP="0027717A">
            <w:pPr>
              <w:jc w:val="center"/>
              <w:rPr>
                <w:b/>
                <w:sz w:val="20"/>
                <w:szCs w:val="20"/>
              </w:rPr>
            </w:pPr>
            <w:r w:rsidRPr="00203429">
              <w:rPr>
                <w:b/>
                <w:sz w:val="20"/>
                <w:szCs w:val="20"/>
              </w:rPr>
              <w:t>Monday</w:t>
            </w:r>
          </w:p>
        </w:tc>
        <w:tc>
          <w:tcPr>
            <w:tcW w:w="1172" w:type="dxa"/>
          </w:tcPr>
          <w:p w14:paraId="28073BB4" w14:textId="77777777" w:rsidR="00043349" w:rsidRPr="00203429" w:rsidRDefault="00043349" w:rsidP="0027717A">
            <w:pPr>
              <w:jc w:val="center"/>
              <w:rPr>
                <w:b/>
                <w:sz w:val="20"/>
                <w:szCs w:val="20"/>
              </w:rPr>
            </w:pPr>
            <w:r w:rsidRPr="00203429">
              <w:rPr>
                <w:b/>
                <w:sz w:val="20"/>
                <w:szCs w:val="20"/>
              </w:rPr>
              <w:t>Tuesday</w:t>
            </w:r>
          </w:p>
        </w:tc>
        <w:tc>
          <w:tcPr>
            <w:tcW w:w="1422" w:type="dxa"/>
          </w:tcPr>
          <w:p w14:paraId="388A424E" w14:textId="77777777" w:rsidR="00043349" w:rsidRPr="00203429" w:rsidRDefault="00043349" w:rsidP="0027717A">
            <w:pPr>
              <w:jc w:val="center"/>
              <w:rPr>
                <w:b/>
                <w:sz w:val="20"/>
                <w:szCs w:val="20"/>
              </w:rPr>
            </w:pPr>
            <w:r w:rsidRPr="00203429">
              <w:rPr>
                <w:b/>
                <w:sz w:val="20"/>
                <w:szCs w:val="20"/>
              </w:rPr>
              <w:t>Wednesday</w:t>
            </w:r>
          </w:p>
        </w:tc>
        <w:tc>
          <w:tcPr>
            <w:tcW w:w="1269" w:type="dxa"/>
          </w:tcPr>
          <w:p w14:paraId="2B1E82FA" w14:textId="77777777" w:rsidR="00043349" w:rsidRPr="00203429" w:rsidRDefault="00043349" w:rsidP="0027717A">
            <w:pPr>
              <w:jc w:val="center"/>
              <w:rPr>
                <w:b/>
                <w:sz w:val="20"/>
                <w:szCs w:val="20"/>
              </w:rPr>
            </w:pPr>
            <w:r w:rsidRPr="00203429">
              <w:rPr>
                <w:b/>
                <w:sz w:val="20"/>
                <w:szCs w:val="20"/>
              </w:rPr>
              <w:t>Thursday</w:t>
            </w:r>
          </w:p>
        </w:tc>
        <w:tc>
          <w:tcPr>
            <w:tcW w:w="1749" w:type="dxa"/>
            <w:gridSpan w:val="2"/>
          </w:tcPr>
          <w:p w14:paraId="4C938617" w14:textId="77777777" w:rsidR="00043349" w:rsidRPr="00203429" w:rsidRDefault="00043349" w:rsidP="0027717A">
            <w:pPr>
              <w:jc w:val="center"/>
              <w:rPr>
                <w:b/>
                <w:sz w:val="20"/>
                <w:szCs w:val="20"/>
              </w:rPr>
            </w:pPr>
            <w:r w:rsidRPr="00203429">
              <w:rPr>
                <w:b/>
                <w:sz w:val="20"/>
                <w:szCs w:val="20"/>
              </w:rPr>
              <w:t>Friday</w:t>
            </w:r>
          </w:p>
        </w:tc>
        <w:tc>
          <w:tcPr>
            <w:tcW w:w="1225" w:type="dxa"/>
          </w:tcPr>
          <w:p w14:paraId="528BEEF4" w14:textId="77777777" w:rsidR="00043349" w:rsidRPr="00203429" w:rsidRDefault="00043349" w:rsidP="0027717A">
            <w:pPr>
              <w:jc w:val="center"/>
              <w:rPr>
                <w:b/>
                <w:sz w:val="20"/>
                <w:szCs w:val="20"/>
              </w:rPr>
            </w:pPr>
            <w:r w:rsidRPr="00203429">
              <w:rPr>
                <w:b/>
                <w:sz w:val="20"/>
                <w:szCs w:val="20"/>
              </w:rPr>
              <w:t>Saturday</w:t>
            </w:r>
          </w:p>
        </w:tc>
      </w:tr>
      <w:tr w:rsidR="00043349" w:rsidRPr="00203429" w14:paraId="270EA995" w14:textId="77777777" w:rsidTr="000A7E0D">
        <w:tc>
          <w:tcPr>
            <w:tcW w:w="1737" w:type="dxa"/>
          </w:tcPr>
          <w:p w14:paraId="057EDC89" w14:textId="77777777" w:rsidR="00043349" w:rsidRPr="00203429" w:rsidRDefault="00043349" w:rsidP="0027717A">
            <w:pPr>
              <w:jc w:val="center"/>
              <w:rPr>
                <w:sz w:val="20"/>
                <w:szCs w:val="20"/>
              </w:rPr>
            </w:pPr>
          </w:p>
        </w:tc>
        <w:tc>
          <w:tcPr>
            <w:tcW w:w="1272" w:type="dxa"/>
          </w:tcPr>
          <w:p w14:paraId="6EDF3029" w14:textId="7F6DCBEE" w:rsidR="00043349" w:rsidRPr="00203429" w:rsidRDefault="00043349" w:rsidP="0027717A">
            <w:pPr>
              <w:jc w:val="center"/>
              <w:rPr>
                <w:b/>
                <w:sz w:val="20"/>
                <w:szCs w:val="20"/>
              </w:rPr>
            </w:pPr>
          </w:p>
        </w:tc>
        <w:tc>
          <w:tcPr>
            <w:tcW w:w="1170" w:type="dxa"/>
          </w:tcPr>
          <w:p w14:paraId="03477E2C" w14:textId="77777777" w:rsidR="00043349" w:rsidRPr="00203429" w:rsidRDefault="00043349" w:rsidP="0027717A">
            <w:pPr>
              <w:jc w:val="center"/>
              <w:rPr>
                <w:b/>
                <w:sz w:val="20"/>
                <w:szCs w:val="20"/>
              </w:rPr>
            </w:pPr>
            <w:r w:rsidRPr="00203429">
              <w:rPr>
                <w:b/>
                <w:sz w:val="20"/>
                <w:szCs w:val="20"/>
              </w:rPr>
              <w:t>Day 1</w:t>
            </w:r>
          </w:p>
        </w:tc>
        <w:tc>
          <w:tcPr>
            <w:tcW w:w="1172" w:type="dxa"/>
          </w:tcPr>
          <w:p w14:paraId="68C01966" w14:textId="77777777" w:rsidR="00043349" w:rsidRPr="00203429" w:rsidRDefault="00043349" w:rsidP="0027717A">
            <w:pPr>
              <w:jc w:val="center"/>
              <w:rPr>
                <w:b/>
                <w:sz w:val="20"/>
                <w:szCs w:val="20"/>
              </w:rPr>
            </w:pPr>
            <w:r w:rsidRPr="00203429">
              <w:rPr>
                <w:b/>
                <w:sz w:val="20"/>
                <w:szCs w:val="20"/>
              </w:rPr>
              <w:t>Day 2</w:t>
            </w:r>
          </w:p>
        </w:tc>
        <w:tc>
          <w:tcPr>
            <w:tcW w:w="1422" w:type="dxa"/>
          </w:tcPr>
          <w:p w14:paraId="2C9B5FD6" w14:textId="77777777" w:rsidR="00043349" w:rsidRPr="00203429" w:rsidRDefault="00043349" w:rsidP="0027717A">
            <w:pPr>
              <w:jc w:val="center"/>
              <w:rPr>
                <w:b/>
                <w:sz w:val="20"/>
                <w:szCs w:val="20"/>
              </w:rPr>
            </w:pPr>
            <w:r w:rsidRPr="00203429">
              <w:rPr>
                <w:b/>
                <w:sz w:val="20"/>
                <w:szCs w:val="20"/>
              </w:rPr>
              <w:t>Day 3</w:t>
            </w:r>
          </w:p>
        </w:tc>
        <w:tc>
          <w:tcPr>
            <w:tcW w:w="1269" w:type="dxa"/>
          </w:tcPr>
          <w:p w14:paraId="5FB84FEF" w14:textId="77777777" w:rsidR="00043349" w:rsidRPr="00203429" w:rsidRDefault="00043349" w:rsidP="0027717A">
            <w:pPr>
              <w:jc w:val="center"/>
              <w:rPr>
                <w:b/>
                <w:sz w:val="20"/>
                <w:szCs w:val="20"/>
              </w:rPr>
            </w:pPr>
            <w:r w:rsidRPr="00203429">
              <w:rPr>
                <w:b/>
                <w:sz w:val="20"/>
                <w:szCs w:val="20"/>
              </w:rPr>
              <w:t>Day 4</w:t>
            </w:r>
          </w:p>
        </w:tc>
        <w:tc>
          <w:tcPr>
            <w:tcW w:w="1749" w:type="dxa"/>
            <w:gridSpan w:val="2"/>
          </w:tcPr>
          <w:p w14:paraId="3CDF70B2" w14:textId="77777777" w:rsidR="00043349" w:rsidRPr="00203429" w:rsidRDefault="00043349" w:rsidP="0027717A">
            <w:pPr>
              <w:jc w:val="center"/>
              <w:rPr>
                <w:b/>
                <w:sz w:val="20"/>
                <w:szCs w:val="20"/>
              </w:rPr>
            </w:pPr>
            <w:r w:rsidRPr="00203429">
              <w:rPr>
                <w:b/>
                <w:sz w:val="20"/>
                <w:szCs w:val="20"/>
              </w:rPr>
              <w:t>Day 5</w:t>
            </w:r>
          </w:p>
        </w:tc>
        <w:tc>
          <w:tcPr>
            <w:tcW w:w="1225" w:type="dxa"/>
          </w:tcPr>
          <w:p w14:paraId="62F33394" w14:textId="77777777" w:rsidR="00043349" w:rsidRPr="00203429" w:rsidRDefault="00043349" w:rsidP="0027717A">
            <w:pPr>
              <w:jc w:val="center"/>
              <w:rPr>
                <w:b/>
                <w:sz w:val="20"/>
                <w:szCs w:val="20"/>
              </w:rPr>
            </w:pPr>
            <w:r w:rsidRPr="00203429">
              <w:rPr>
                <w:b/>
                <w:sz w:val="20"/>
                <w:szCs w:val="20"/>
              </w:rPr>
              <w:t>Day 6</w:t>
            </w:r>
          </w:p>
        </w:tc>
      </w:tr>
      <w:tr w:rsidR="00043349" w:rsidRPr="00203429" w14:paraId="64FB60AA" w14:textId="77777777" w:rsidTr="000A7E0D">
        <w:tc>
          <w:tcPr>
            <w:tcW w:w="1737" w:type="dxa"/>
          </w:tcPr>
          <w:p w14:paraId="788C736C" w14:textId="77777777" w:rsidR="00043349" w:rsidRPr="00203429" w:rsidRDefault="00043349" w:rsidP="0027717A">
            <w:pPr>
              <w:jc w:val="center"/>
              <w:rPr>
                <w:b/>
                <w:sz w:val="20"/>
                <w:szCs w:val="20"/>
              </w:rPr>
            </w:pPr>
            <w:r w:rsidRPr="00203429">
              <w:rPr>
                <w:b/>
                <w:sz w:val="20"/>
                <w:szCs w:val="20"/>
              </w:rPr>
              <w:t>Rapamycin  administration</w:t>
            </w:r>
          </w:p>
        </w:tc>
        <w:tc>
          <w:tcPr>
            <w:tcW w:w="1272" w:type="dxa"/>
          </w:tcPr>
          <w:p w14:paraId="3F34DC36" w14:textId="77777777" w:rsidR="00043349" w:rsidRPr="00203429" w:rsidRDefault="00043349" w:rsidP="0027717A">
            <w:pPr>
              <w:jc w:val="center"/>
              <w:rPr>
                <w:sz w:val="20"/>
                <w:szCs w:val="20"/>
              </w:rPr>
            </w:pPr>
          </w:p>
        </w:tc>
        <w:tc>
          <w:tcPr>
            <w:tcW w:w="1170" w:type="dxa"/>
          </w:tcPr>
          <w:p w14:paraId="69F0E5B2" w14:textId="77777777" w:rsidR="00043349" w:rsidRPr="00203429" w:rsidRDefault="00043349" w:rsidP="0027717A">
            <w:pPr>
              <w:jc w:val="center"/>
              <w:rPr>
                <w:sz w:val="20"/>
                <w:szCs w:val="20"/>
              </w:rPr>
            </w:pPr>
            <w:r w:rsidRPr="00203429">
              <w:rPr>
                <w:sz w:val="20"/>
                <w:szCs w:val="20"/>
              </w:rPr>
              <w:t>X</w:t>
            </w:r>
          </w:p>
        </w:tc>
        <w:tc>
          <w:tcPr>
            <w:tcW w:w="1172" w:type="dxa"/>
          </w:tcPr>
          <w:p w14:paraId="59A8D4F3" w14:textId="77777777" w:rsidR="00043349" w:rsidRPr="00203429" w:rsidRDefault="00043349" w:rsidP="0027717A">
            <w:pPr>
              <w:jc w:val="center"/>
              <w:rPr>
                <w:sz w:val="20"/>
                <w:szCs w:val="20"/>
              </w:rPr>
            </w:pPr>
            <w:r w:rsidRPr="00203429">
              <w:rPr>
                <w:sz w:val="20"/>
                <w:szCs w:val="20"/>
              </w:rPr>
              <w:t>X</w:t>
            </w:r>
          </w:p>
        </w:tc>
        <w:tc>
          <w:tcPr>
            <w:tcW w:w="1422" w:type="dxa"/>
          </w:tcPr>
          <w:p w14:paraId="3CFE4EB6" w14:textId="77777777" w:rsidR="00043349" w:rsidRPr="00203429" w:rsidRDefault="00043349" w:rsidP="0027717A">
            <w:pPr>
              <w:jc w:val="center"/>
              <w:rPr>
                <w:sz w:val="20"/>
                <w:szCs w:val="20"/>
              </w:rPr>
            </w:pPr>
            <w:r w:rsidRPr="00203429">
              <w:rPr>
                <w:sz w:val="20"/>
                <w:szCs w:val="20"/>
              </w:rPr>
              <w:t>X</w:t>
            </w:r>
          </w:p>
        </w:tc>
        <w:tc>
          <w:tcPr>
            <w:tcW w:w="1269" w:type="dxa"/>
          </w:tcPr>
          <w:p w14:paraId="031E6D32" w14:textId="77777777" w:rsidR="00043349" w:rsidRPr="00203429" w:rsidRDefault="00043349" w:rsidP="0027717A">
            <w:pPr>
              <w:jc w:val="center"/>
              <w:rPr>
                <w:sz w:val="20"/>
                <w:szCs w:val="20"/>
              </w:rPr>
            </w:pPr>
            <w:r w:rsidRPr="00203429">
              <w:rPr>
                <w:sz w:val="20"/>
                <w:szCs w:val="20"/>
              </w:rPr>
              <w:t>X</w:t>
            </w:r>
          </w:p>
        </w:tc>
        <w:tc>
          <w:tcPr>
            <w:tcW w:w="1749" w:type="dxa"/>
            <w:gridSpan w:val="2"/>
          </w:tcPr>
          <w:p w14:paraId="414FB8CF" w14:textId="77777777" w:rsidR="00043349" w:rsidRPr="00203429" w:rsidRDefault="00043349" w:rsidP="0027717A">
            <w:pPr>
              <w:jc w:val="center"/>
              <w:rPr>
                <w:sz w:val="20"/>
                <w:szCs w:val="20"/>
              </w:rPr>
            </w:pPr>
          </w:p>
        </w:tc>
        <w:tc>
          <w:tcPr>
            <w:tcW w:w="1225" w:type="dxa"/>
          </w:tcPr>
          <w:p w14:paraId="2A71A609" w14:textId="77777777" w:rsidR="00043349" w:rsidRPr="00203429" w:rsidRDefault="00043349" w:rsidP="0027717A">
            <w:pPr>
              <w:jc w:val="center"/>
              <w:rPr>
                <w:sz w:val="20"/>
                <w:szCs w:val="20"/>
              </w:rPr>
            </w:pPr>
          </w:p>
        </w:tc>
      </w:tr>
      <w:tr w:rsidR="00043349" w:rsidRPr="00203429" w14:paraId="5862CA3B" w14:textId="77777777" w:rsidTr="000A7E0D">
        <w:tc>
          <w:tcPr>
            <w:tcW w:w="1737" w:type="dxa"/>
          </w:tcPr>
          <w:p w14:paraId="0696A917" w14:textId="77777777" w:rsidR="00043349" w:rsidRPr="00203429" w:rsidRDefault="00043349" w:rsidP="0027717A">
            <w:pPr>
              <w:jc w:val="center"/>
              <w:rPr>
                <w:b/>
                <w:sz w:val="20"/>
                <w:szCs w:val="20"/>
              </w:rPr>
            </w:pPr>
          </w:p>
        </w:tc>
        <w:tc>
          <w:tcPr>
            <w:tcW w:w="1272" w:type="dxa"/>
          </w:tcPr>
          <w:p w14:paraId="5CE183DD" w14:textId="77777777" w:rsidR="00043349" w:rsidRPr="00203429" w:rsidRDefault="00043349" w:rsidP="0027717A">
            <w:pPr>
              <w:jc w:val="center"/>
              <w:rPr>
                <w:b/>
                <w:sz w:val="20"/>
                <w:szCs w:val="20"/>
              </w:rPr>
            </w:pPr>
            <w:r w:rsidRPr="00203429">
              <w:rPr>
                <w:b/>
                <w:sz w:val="20"/>
                <w:szCs w:val="20"/>
              </w:rPr>
              <w:t>Day 7</w:t>
            </w:r>
          </w:p>
        </w:tc>
        <w:tc>
          <w:tcPr>
            <w:tcW w:w="1170" w:type="dxa"/>
          </w:tcPr>
          <w:p w14:paraId="528C8B14" w14:textId="77777777" w:rsidR="00043349" w:rsidRPr="00203429" w:rsidRDefault="00043349" w:rsidP="0027717A">
            <w:pPr>
              <w:jc w:val="center"/>
              <w:rPr>
                <w:b/>
                <w:sz w:val="20"/>
                <w:szCs w:val="20"/>
              </w:rPr>
            </w:pPr>
            <w:r w:rsidRPr="00203429">
              <w:rPr>
                <w:b/>
                <w:sz w:val="20"/>
                <w:szCs w:val="20"/>
              </w:rPr>
              <w:t>Day 8</w:t>
            </w:r>
          </w:p>
        </w:tc>
        <w:tc>
          <w:tcPr>
            <w:tcW w:w="1172" w:type="dxa"/>
          </w:tcPr>
          <w:p w14:paraId="74C05747" w14:textId="77777777" w:rsidR="00043349" w:rsidRPr="00203429" w:rsidRDefault="00043349" w:rsidP="0027717A">
            <w:pPr>
              <w:jc w:val="center"/>
              <w:rPr>
                <w:b/>
                <w:sz w:val="20"/>
                <w:szCs w:val="20"/>
              </w:rPr>
            </w:pPr>
            <w:r w:rsidRPr="00203429">
              <w:rPr>
                <w:b/>
                <w:sz w:val="20"/>
                <w:szCs w:val="20"/>
              </w:rPr>
              <w:t>Day 9</w:t>
            </w:r>
          </w:p>
        </w:tc>
        <w:tc>
          <w:tcPr>
            <w:tcW w:w="1422" w:type="dxa"/>
          </w:tcPr>
          <w:p w14:paraId="11E136E8" w14:textId="77777777" w:rsidR="00043349" w:rsidRPr="00203429" w:rsidRDefault="00043349" w:rsidP="0027717A">
            <w:pPr>
              <w:jc w:val="center"/>
              <w:rPr>
                <w:b/>
                <w:sz w:val="20"/>
                <w:szCs w:val="20"/>
              </w:rPr>
            </w:pPr>
            <w:r w:rsidRPr="00203429">
              <w:rPr>
                <w:b/>
                <w:sz w:val="20"/>
                <w:szCs w:val="20"/>
              </w:rPr>
              <w:t>Day 10</w:t>
            </w:r>
          </w:p>
        </w:tc>
        <w:tc>
          <w:tcPr>
            <w:tcW w:w="1269" w:type="dxa"/>
          </w:tcPr>
          <w:p w14:paraId="08041C5B" w14:textId="77777777" w:rsidR="00043349" w:rsidRPr="00203429" w:rsidRDefault="00043349" w:rsidP="0027717A">
            <w:pPr>
              <w:jc w:val="center"/>
              <w:rPr>
                <w:b/>
                <w:sz w:val="20"/>
                <w:szCs w:val="20"/>
              </w:rPr>
            </w:pPr>
            <w:r w:rsidRPr="00203429">
              <w:rPr>
                <w:b/>
                <w:sz w:val="20"/>
                <w:szCs w:val="20"/>
              </w:rPr>
              <w:t>Day 11</w:t>
            </w:r>
          </w:p>
        </w:tc>
        <w:tc>
          <w:tcPr>
            <w:tcW w:w="1749" w:type="dxa"/>
            <w:gridSpan w:val="2"/>
          </w:tcPr>
          <w:p w14:paraId="20C079C5" w14:textId="77777777" w:rsidR="00043349" w:rsidRPr="00203429" w:rsidRDefault="00043349" w:rsidP="0027717A">
            <w:pPr>
              <w:jc w:val="center"/>
              <w:rPr>
                <w:b/>
                <w:sz w:val="20"/>
                <w:szCs w:val="20"/>
              </w:rPr>
            </w:pPr>
            <w:r w:rsidRPr="00203429">
              <w:rPr>
                <w:b/>
                <w:sz w:val="20"/>
                <w:szCs w:val="20"/>
              </w:rPr>
              <w:t>Day 12</w:t>
            </w:r>
          </w:p>
        </w:tc>
        <w:tc>
          <w:tcPr>
            <w:tcW w:w="1225" w:type="dxa"/>
          </w:tcPr>
          <w:p w14:paraId="130C4293" w14:textId="77777777" w:rsidR="00043349" w:rsidRPr="00203429" w:rsidRDefault="00043349" w:rsidP="0027717A">
            <w:pPr>
              <w:jc w:val="center"/>
              <w:rPr>
                <w:b/>
                <w:sz w:val="20"/>
                <w:szCs w:val="20"/>
              </w:rPr>
            </w:pPr>
            <w:r w:rsidRPr="00203429">
              <w:rPr>
                <w:b/>
                <w:sz w:val="20"/>
                <w:szCs w:val="20"/>
              </w:rPr>
              <w:t>Day 13</w:t>
            </w:r>
          </w:p>
        </w:tc>
      </w:tr>
      <w:tr w:rsidR="00043349" w:rsidRPr="00203429" w14:paraId="64D3E207" w14:textId="77777777" w:rsidTr="000A7E0D">
        <w:tc>
          <w:tcPr>
            <w:tcW w:w="1737" w:type="dxa"/>
          </w:tcPr>
          <w:p w14:paraId="60F5288D" w14:textId="77777777" w:rsidR="00043349" w:rsidRPr="00203429" w:rsidRDefault="00043349" w:rsidP="0027717A">
            <w:pPr>
              <w:jc w:val="center"/>
              <w:rPr>
                <w:b/>
                <w:sz w:val="20"/>
                <w:szCs w:val="20"/>
              </w:rPr>
            </w:pPr>
            <w:r w:rsidRPr="00203429">
              <w:rPr>
                <w:b/>
                <w:sz w:val="20"/>
                <w:szCs w:val="20"/>
              </w:rPr>
              <w:t>Rapamycin  administration</w:t>
            </w:r>
          </w:p>
        </w:tc>
        <w:tc>
          <w:tcPr>
            <w:tcW w:w="1272" w:type="dxa"/>
          </w:tcPr>
          <w:p w14:paraId="38219160" w14:textId="77777777" w:rsidR="00043349" w:rsidRPr="00203429" w:rsidRDefault="00043349" w:rsidP="0027717A">
            <w:pPr>
              <w:jc w:val="center"/>
              <w:rPr>
                <w:sz w:val="20"/>
                <w:szCs w:val="20"/>
              </w:rPr>
            </w:pPr>
          </w:p>
        </w:tc>
        <w:tc>
          <w:tcPr>
            <w:tcW w:w="1170" w:type="dxa"/>
          </w:tcPr>
          <w:p w14:paraId="7AD2D5C8" w14:textId="77777777" w:rsidR="00043349" w:rsidRPr="00203429" w:rsidRDefault="00043349" w:rsidP="0027717A">
            <w:pPr>
              <w:jc w:val="center"/>
              <w:rPr>
                <w:sz w:val="20"/>
                <w:szCs w:val="20"/>
              </w:rPr>
            </w:pPr>
            <w:r w:rsidRPr="00203429">
              <w:rPr>
                <w:sz w:val="20"/>
                <w:szCs w:val="20"/>
              </w:rPr>
              <w:t>X</w:t>
            </w:r>
          </w:p>
        </w:tc>
        <w:tc>
          <w:tcPr>
            <w:tcW w:w="1172" w:type="dxa"/>
          </w:tcPr>
          <w:p w14:paraId="0560458F" w14:textId="77777777" w:rsidR="00043349" w:rsidRPr="00203429" w:rsidRDefault="00043349" w:rsidP="0027717A">
            <w:pPr>
              <w:jc w:val="center"/>
              <w:rPr>
                <w:sz w:val="20"/>
                <w:szCs w:val="20"/>
              </w:rPr>
            </w:pPr>
            <w:r w:rsidRPr="00203429">
              <w:rPr>
                <w:sz w:val="20"/>
                <w:szCs w:val="20"/>
              </w:rPr>
              <w:t>X</w:t>
            </w:r>
          </w:p>
        </w:tc>
        <w:tc>
          <w:tcPr>
            <w:tcW w:w="1422" w:type="dxa"/>
          </w:tcPr>
          <w:p w14:paraId="595921A4" w14:textId="77777777" w:rsidR="00043349" w:rsidRPr="00203429" w:rsidRDefault="00043349" w:rsidP="0027717A">
            <w:pPr>
              <w:jc w:val="center"/>
              <w:rPr>
                <w:sz w:val="20"/>
                <w:szCs w:val="20"/>
              </w:rPr>
            </w:pPr>
            <w:r w:rsidRPr="00203429">
              <w:rPr>
                <w:sz w:val="20"/>
                <w:szCs w:val="20"/>
              </w:rPr>
              <w:t>X</w:t>
            </w:r>
          </w:p>
        </w:tc>
        <w:tc>
          <w:tcPr>
            <w:tcW w:w="1269" w:type="dxa"/>
          </w:tcPr>
          <w:p w14:paraId="4B6C6E3D" w14:textId="77777777" w:rsidR="00043349" w:rsidRPr="00203429" w:rsidRDefault="00043349" w:rsidP="0027717A">
            <w:pPr>
              <w:jc w:val="center"/>
              <w:rPr>
                <w:sz w:val="20"/>
                <w:szCs w:val="20"/>
              </w:rPr>
            </w:pPr>
            <w:r w:rsidRPr="00203429">
              <w:rPr>
                <w:sz w:val="20"/>
                <w:szCs w:val="20"/>
              </w:rPr>
              <w:t>X</w:t>
            </w:r>
          </w:p>
        </w:tc>
        <w:tc>
          <w:tcPr>
            <w:tcW w:w="1749" w:type="dxa"/>
            <w:gridSpan w:val="2"/>
          </w:tcPr>
          <w:p w14:paraId="19CDF5F3" w14:textId="77777777" w:rsidR="00043349" w:rsidRPr="00203429" w:rsidRDefault="00043349" w:rsidP="0027717A">
            <w:pPr>
              <w:jc w:val="center"/>
              <w:rPr>
                <w:sz w:val="20"/>
                <w:szCs w:val="20"/>
              </w:rPr>
            </w:pPr>
          </w:p>
        </w:tc>
        <w:tc>
          <w:tcPr>
            <w:tcW w:w="1225" w:type="dxa"/>
          </w:tcPr>
          <w:p w14:paraId="0D613250" w14:textId="77777777" w:rsidR="00043349" w:rsidRPr="00203429" w:rsidRDefault="00043349" w:rsidP="0027717A">
            <w:pPr>
              <w:jc w:val="center"/>
              <w:rPr>
                <w:sz w:val="20"/>
                <w:szCs w:val="20"/>
              </w:rPr>
            </w:pPr>
          </w:p>
        </w:tc>
      </w:tr>
      <w:tr w:rsidR="000A7E0D" w:rsidRPr="00203429" w14:paraId="3A9BD99A" w14:textId="77777777" w:rsidTr="000A7E0D">
        <w:tc>
          <w:tcPr>
            <w:tcW w:w="1737" w:type="dxa"/>
          </w:tcPr>
          <w:p w14:paraId="2F9324E0" w14:textId="77777777" w:rsidR="000A7E0D" w:rsidRPr="00203429" w:rsidRDefault="000A7E0D" w:rsidP="0027717A">
            <w:pPr>
              <w:jc w:val="center"/>
              <w:rPr>
                <w:b/>
                <w:sz w:val="20"/>
                <w:szCs w:val="20"/>
              </w:rPr>
            </w:pPr>
            <w:r w:rsidRPr="00203429">
              <w:rPr>
                <w:b/>
                <w:sz w:val="20"/>
                <w:szCs w:val="20"/>
              </w:rPr>
              <w:t>PK collection</w:t>
            </w:r>
          </w:p>
        </w:tc>
        <w:tc>
          <w:tcPr>
            <w:tcW w:w="1272" w:type="dxa"/>
          </w:tcPr>
          <w:p w14:paraId="3AFA624B" w14:textId="77777777" w:rsidR="000A7E0D" w:rsidRPr="00203429" w:rsidRDefault="000A7E0D" w:rsidP="0027717A">
            <w:pPr>
              <w:jc w:val="center"/>
              <w:rPr>
                <w:sz w:val="20"/>
                <w:szCs w:val="20"/>
              </w:rPr>
            </w:pPr>
          </w:p>
        </w:tc>
        <w:tc>
          <w:tcPr>
            <w:tcW w:w="1170" w:type="dxa"/>
          </w:tcPr>
          <w:p w14:paraId="3299A493" w14:textId="77777777" w:rsidR="000A7E0D" w:rsidRPr="00203429" w:rsidRDefault="000A7E0D" w:rsidP="0027717A">
            <w:pPr>
              <w:jc w:val="center"/>
              <w:rPr>
                <w:sz w:val="20"/>
                <w:szCs w:val="20"/>
              </w:rPr>
            </w:pPr>
          </w:p>
        </w:tc>
        <w:tc>
          <w:tcPr>
            <w:tcW w:w="1172" w:type="dxa"/>
          </w:tcPr>
          <w:p w14:paraId="4B4B6043" w14:textId="77777777" w:rsidR="000A7E0D" w:rsidRPr="00203429" w:rsidRDefault="000A7E0D" w:rsidP="0027717A">
            <w:pPr>
              <w:jc w:val="center"/>
              <w:rPr>
                <w:sz w:val="20"/>
                <w:szCs w:val="20"/>
              </w:rPr>
            </w:pPr>
          </w:p>
        </w:tc>
        <w:tc>
          <w:tcPr>
            <w:tcW w:w="1422" w:type="dxa"/>
          </w:tcPr>
          <w:p w14:paraId="25B8C169" w14:textId="77777777" w:rsidR="000A7E0D" w:rsidRPr="00203429" w:rsidRDefault="000A7E0D" w:rsidP="0027717A">
            <w:pPr>
              <w:jc w:val="center"/>
              <w:rPr>
                <w:sz w:val="20"/>
                <w:szCs w:val="20"/>
              </w:rPr>
            </w:pPr>
          </w:p>
        </w:tc>
        <w:tc>
          <w:tcPr>
            <w:tcW w:w="3018" w:type="dxa"/>
            <w:gridSpan w:val="3"/>
          </w:tcPr>
          <w:p w14:paraId="76D9E42C" w14:textId="232D4A91" w:rsidR="000A7E0D" w:rsidRPr="00203429" w:rsidRDefault="000A7E0D" w:rsidP="000A7E0D">
            <w:pPr>
              <w:jc w:val="center"/>
              <w:rPr>
                <w:sz w:val="20"/>
                <w:szCs w:val="20"/>
              </w:rPr>
            </w:pPr>
            <w:r w:rsidRPr="00203429">
              <w:rPr>
                <w:sz w:val="20"/>
                <w:szCs w:val="20"/>
              </w:rPr>
              <w:t>multipoint 24 hr.</w:t>
            </w:r>
          </w:p>
          <w:p w14:paraId="30E13D0A" w14:textId="20136598" w:rsidR="000A7E0D" w:rsidRPr="00203429" w:rsidRDefault="000A7E0D" w:rsidP="000A7E0D">
            <w:pPr>
              <w:jc w:val="center"/>
              <w:rPr>
                <w:sz w:val="20"/>
                <w:szCs w:val="20"/>
              </w:rPr>
            </w:pPr>
            <w:r w:rsidRPr="00203429">
              <w:rPr>
                <w:sz w:val="20"/>
                <w:szCs w:val="20"/>
              </w:rPr>
              <w:t>PK curve</w:t>
            </w:r>
          </w:p>
        </w:tc>
        <w:tc>
          <w:tcPr>
            <w:tcW w:w="1225" w:type="dxa"/>
          </w:tcPr>
          <w:p w14:paraId="4BEF68FF" w14:textId="77777777" w:rsidR="000A7E0D" w:rsidRPr="00203429" w:rsidRDefault="000A7E0D" w:rsidP="0027717A">
            <w:pPr>
              <w:jc w:val="center"/>
              <w:rPr>
                <w:sz w:val="20"/>
                <w:szCs w:val="20"/>
              </w:rPr>
            </w:pPr>
          </w:p>
        </w:tc>
      </w:tr>
      <w:tr w:rsidR="00043349" w:rsidRPr="00203429" w14:paraId="415E7387" w14:textId="77777777" w:rsidTr="000A7E0D">
        <w:tc>
          <w:tcPr>
            <w:tcW w:w="1737" w:type="dxa"/>
          </w:tcPr>
          <w:p w14:paraId="07F7B00E" w14:textId="77777777" w:rsidR="00043349" w:rsidRPr="00203429" w:rsidRDefault="00043349" w:rsidP="0027717A">
            <w:pPr>
              <w:jc w:val="center"/>
              <w:rPr>
                <w:b/>
                <w:sz w:val="20"/>
                <w:szCs w:val="20"/>
              </w:rPr>
            </w:pPr>
            <w:r w:rsidRPr="00203429">
              <w:rPr>
                <w:b/>
                <w:sz w:val="20"/>
                <w:szCs w:val="20"/>
              </w:rPr>
              <w:t>PE</w:t>
            </w:r>
          </w:p>
        </w:tc>
        <w:tc>
          <w:tcPr>
            <w:tcW w:w="1272" w:type="dxa"/>
          </w:tcPr>
          <w:p w14:paraId="4429CB06" w14:textId="77777777" w:rsidR="00043349" w:rsidRPr="00203429" w:rsidRDefault="00043349" w:rsidP="0027717A">
            <w:pPr>
              <w:jc w:val="center"/>
              <w:rPr>
                <w:sz w:val="20"/>
                <w:szCs w:val="20"/>
              </w:rPr>
            </w:pPr>
          </w:p>
        </w:tc>
        <w:tc>
          <w:tcPr>
            <w:tcW w:w="1170" w:type="dxa"/>
          </w:tcPr>
          <w:p w14:paraId="125E7907" w14:textId="77777777" w:rsidR="00043349" w:rsidRPr="00203429" w:rsidRDefault="00043349" w:rsidP="0027717A">
            <w:pPr>
              <w:jc w:val="center"/>
              <w:rPr>
                <w:sz w:val="20"/>
                <w:szCs w:val="20"/>
              </w:rPr>
            </w:pPr>
          </w:p>
        </w:tc>
        <w:tc>
          <w:tcPr>
            <w:tcW w:w="1172" w:type="dxa"/>
          </w:tcPr>
          <w:p w14:paraId="4D55BED5" w14:textId="77777777" w:rsidR="00043349" w:rsidRPr="00203429" w:rsidRDefault="00043349" w:rsidP="0027717A">
            <w:pPr>
              <w:jc w:val="center"/>
              <w:rPr>
                <w:sz w:val="20"/>
                <w:szCs w:val="20"/>
              </w:rPr>
            </w:pPr>
          </w:p>
        </w:tc>
        <w:tc>
          <w:tcPr>
            <w:tcW w:w="1422" w:type="dxa"/>
          </w:tcPr>
          <w:p w14:paraId="6D86E18B" w14:textId="77777777" w:rsidR="00043349" w:rsidRPr="00203429" w:rsidRDefault="00043349" w:rsidP="0027717A">
            <w:pPr>
              <w:jc w:val="center"/>
              <w:rPr>
                <w:sz w:val="20"/>
                <w:szCs w:val="20"/>
              </w:rPr>
            </w:pPr>
          </w:p>
        </w:tc>
        <w:tc>
          <w:tcPr>
            <w:tcW w:w="1269" w:type="dxa"/>
          </w:tcPr>
          <w:p w14:paraId="6A878E79" w14:textId="5AAEB095" w:rsidR="00043349" w:rsidRPr="00203429" w:rsidRDefault="000A7E0D" w:rsidP="0027717A">
            <w:pPr>
              <w:jc w:val="center"/>
              <w:rPr>
                <w:sz w:val="20"/>
                <w:szCs w:val="20"/>
              </w:rPr>
            </w:pPr>
            <w:r w:rsidRPr="00203429">
              <w:rPr>
                <w:sz w:val="20"/>
                <w:szCs w:val="20"/>
              </w:rPr>
              <w:t>X</w:t>
            </w:r>
          </w:p>
        </w:tc>
        <w:tc>
          <w:tcPr>
            <w:tcW w:w="1749" w:type="dxa"/>
            <w:gridSpan w:val="2"/>
          </w:tcPr>
          <w:p w14:paraId="6D71B742" w14:textId="7AB9399D" w:rsidR="00043349" w:rsidRPr="00203429" w:rsidRDefault="00043349" w:rsidP="0027717A">
            <w:pPr>
              <w:jc w:val="center"/>
              <w:rPr>
                <w:sz w:val="20"/>
                <w:szCs w:val="20"/>
              </w:rPr>
            </w:pPr>
          </w:p>
        </w:tc>
        <w:tc>
          <w:tcPr>
            <w:tcW w:w="1225" w:type="dxa"/>
          </w:tcPr>
          <w:p w14:paraId="3E90501E" w14:textId="77777777" w:rsidR="00043349" w:rsidRPr="00203429" w:rsidRDefault="00043349" w:rsidP="0027717A">
            <w:pPr>
              <w:jc w:val="center"/>
              <w:rPr>
                <w:sz w:val="20"/>
                <w:szCs w:val="20"/>
              </w:rPr>
            </w:pPr>
          </w:p>
        </w:tc>
      </w:tr>
      <w:tr w:rsidR="000A7E0D" w:rsidRPr="00203429" w14:paraId="51B32C31" w14:textId="77777777" w:rsidTr="000A7E0D">
        <w:tc>
          <w:tcPr>
            <w:tcW w:w="1737" w:type="dxa"/>
          </w:tcPr>
          <w:p w14:paraId="2C15229C" w14:textId="7AC5390C" w:rsidR="000A7E0D" w:rsidRPr="00203429" w:rsidRDefault="00655818" w:rsidP="00655818">
            <w:pPr>
              <w:jc w:val="center"/>
              <w:rPr>
                <w:b/>
                <w:sz w:val="20"/>
                <w:szCs w:val="20"/>
              </w:rPr>
            </w:pPr>
            <w:r w:rsidRPr="00203429">
              <w:rPr>
                <w:b/>
                <w:sz w:val="20"/>
                <w:szCs w:val="20"/>
              </w:rPr>
              <w:t>Serum, Whole Blood</w:t>
            </w:r>
            <w:r w:rsidR="000A7E0D" w:rsidRPr="00203429">
              <w:rPr>
                <w:b/>
                <w:sz w:val="20"/>
                <w:szCs w:val="20"/>
              </w:rPr>
              <w:t>, PB</w:t>
            </w:r>
            <w:r w:rsidR="002A064E" w:rsidRPr="00203429">
              <w:rPr>
                <w:b/>
                <w:sz w:val="20"/>
                <w:szCs w:val="20"/>
              </w:rPr>
              <w:t>M</w:t>
            </w:r>
            <w:r w:rsidR="000A7E0D" w:rsidRPr="00203429">
              <w:rPr>
                <w:b/>
                <w:sz w:val="20"/>
                <w:szCs w:val="20"/>
              </w:rPr>
              <w:t>C</w:t>
            </w:r>
          </w:p>
        </w:tc>
        <w:tc>
          <w:tcPr>
            <w:tcW w:w="1272" w:type="dxa"/>
          </w:tcPr>
          <w:p w14:paraId="41DD897F" w14:textId="77777777" w:rsidR="000A7E0D" w:rsidRPr="00203429" w:rsidRDefault="000A7E0D" w:rsidP="0027717A">
            <w:pPr>
              <w:jc w:val="center"/>
              <w:rPr>
                <w:sz w:val="20"/>
                <w:szCs w:val="20"/>
              </w:rPr>
            </w:pPr>
          </w:p>
        </w:tc>
        <w:tc>
          <w:tcPr>
            <w:tcW w:w="1170" w:type="dxa"/>
          </w:tcPr>
          <w:p w14:paraId="6AF0AA45" w14:textId="77777777" w:rsidR="000A7E0D" w:rsidRPr="00203429" w:rsidRDefault="000A7E0D" w:rsidP="0027717A">
            <w:pPr>
              <w:jc w:val="center"/>
              <w:rPr>
                <w:sz w:val="20"/>
                <w:szCs w:val="20"/>
              </w:rPr>
            </w:pPr>
          </w:p>
        </w:tc>
        <w:tc>
          <w:tcPr>
            <w:tcW w:w="1172" w:type="dxa"/>
          </w:tcPr>
          <w:p w14:paraId="2DC110CE" w14:textId="77777777" w:rsidR="000A7E0D" w:rsidRPr="00203429" w:rsidRDefault="000A7E0D" w:rsidP="0027717A">
            <w:pPr>
              <w:jc w:val="center"/>
              <w:rPr>
                <w:sz w:val="20"/>
                <w:szCs w:val="20"/>
              </w:rPr>
            </w:pPr>
          </w:p>
        </w:tc>
        <w:tc>
          <w:tcPr>
            <w:tcW w:w="1422" w:type="dxa"/>
          </w:tcPr>
          <w:p w14:paraId="62AE6C80" w14:textId="77777777" w:rsidR="000A7E0D" w:rsidRPr="00203429" w:rsidRDefault="000A7E0D" w:rsidP="0027717A">
            <w:pPr>
              <w:jc w:val="center"/>
              <w:rPr>
                <w:sz w:val="20"/>
                <w:szCs w:val="20"/>
              </w:rPr>
            </w:pPr>
          </w:p>
        </w:tc>
        <w:tc>
          <w:tcPr>
            <w:tcW w:w="1269" w:type="dxa"/>
          </w:tcPr>
          <w:p w14:paraId="58855725" w14:textId="3551B711" w:rsidR="000A7E0D" w:rsidRPr="00203429" w:rsidRDefault="000A7E0D" w:rsidP="0027717A">
            <w:pPr>
              <w:jc w:val="center"/>
              <w:rPr>
                <w:sz w:val="20"/>
                <w:szCs w:val="20"/>
              </w:rPr>
            </w:pPr>
            <w:r w:rsidRPr="00203429">
              <w:rPr>
                <w:sz w:val="20"/>
                <w:szCs w:val="20"/>
              </w:rPr>
              <w:t>X</w:t>
            </w:r>
          </w:p>
        </w:tc>
        <w:tc>
          <w:tcPr>
            <w:tcW w:w="1749" w:type="dxa"/>
            <w:gridSpan w:val="2"/>
          </w:tcPr>
          <w:p w14:paraId="0E6D0ED2" w14:textId="77777777" w:rsidR="000A7E0D" w:rsidRPr="00203429" w:rsidRDefault="000A7E0D" w:rsidP="0027717A">
            <w:pPr>
              <w:jc w:val="center"/>
              <w:rPr>
                <w:sz w:val="20"/>
                <w:szCs w:val="20"/>
              </w:rPr>
            </w:pPr>
          </w:p>
        </w:tc>
        <w:tc>
          <w:tcPr>
            <w:tcW w:w="1225" w:type="dxa"/>
          </w:tcPr>
          <w:p w14:paraId="08DE42BE" w14:textId="77777777" w:rsidR="000A7E0D" w:rsidRPr="00203429" w:rsidRDefault="000A7E0D" w:rsidP="0027717A">
            <w:pPr>
              <w:jc w:val="center"/>
              <w:rPr>
                <w:sz w:val="20"/>
                <w:szCs w:val="20"/>
              </w:rPr>
            </w:pPr>
          </w:p>
        </w:tc>
      </w:tr>
      <w:tr w:rsidR="00043349" w:rsidRPr="00203429" w14:paraId="75E9B56B" w14:textId="77777777" w:rsidTr="000A7E0D">
        <w:tc>
          <w:tcPr>
            <w:tcW w:w="1737" w:type="dxa"/>
          </w:tcPr>
          <w:p w14:paraId="5F82D9B5" w14:textId="77777777" w:rsidR="00043349" w:rsidRPr="00203429" w:rsidRDefault="00043349" w:rsidP="0027717A">
            <w:pPr>
              <w:jc w:val="center"/>
              <w:rPr>
                <w:b/>
                <w:sz w:val="20"/>
                <w:szCs w:val="20"/>
              </w:rPr>
            </w:pPr>
          </w:p>
        </w:tc>
        <w:tc>
          <w:tcPr>
            <w:tcW w:w="1272" w:type="dxa"/>
          </w:tcPr>
          <w:p w14:paraId="39E6E286" w14:textId="77777777" w:rsidR="00043349" w:rsidRPr="00203429" w:rsidRDefault="00043349" w:rsidP="0027717A">
            <w:pPr>
              <w:jc w:val="center"/>
              <w:rPr>
                <w:b/>
                <w:sz w:val="20"/>
                <w:szCs w:val="20"/>
              </w:rPr>
            </w:pPr>
            <w:r w:rsidRPr="00203429">
              <w:rPr>
                <w:b/>
                <w:sz w:val="20"/>
                <w:szCs w:val="20"/>
              </w:rPr>
              <w:t>Day 14</w:t>
            </w:r>
          </w:p>
        </w:tc>
        <w:tc>
          <w:tcPr>
            <w:tcW w:w="1170" w:type="dxa"/>
          </w:tcPr>
          <w:p w14:paraId="698D0C7D" w14:textId="77777777" w:rsidR="00043349" w:rsidRPr="00203429" w:rsidRDefault="00043349" w:rsidP="0027717A">
            <w:pPr>
              <w:jc w:val="center"/>
              <w:rPr>
                <w:b/>
                <w:sz w:val="20"/>
                <w:szCs w:val="20"/>
              </w:rPr>
            </w:pPr>
            <w:r w:rsidRPr="00203429">
              <w:rPr>
                <w:b/>
                <w:sz w:val="20"/>
                <w:szCs w:val="20"/>
              </w:rPr>
              <w:t>Day 15</w:t>
            </w:r>
          </w:p>
        </w:tc>
        <w:tc>
          <w:tcPr>
            <w:tcW w:w="1172" w:type="dxa"/>
          </w:tcPr>
          <w:p w14:paraId="63250122" w14:textId="77777777" w:rsidR="00043349" w:rsidRPr="00203429" w:rsidRDefault="00043349" w:rsidP="0027717A">
            <w:pPr>
              <w:jc w:val="center"/>
              <w:rPr>
                <w:b/>
                <w:sz w:val="20"/>
                <w:szCs w:val="20"/>
              </w:rPr>
            </w:pPr>
            <w:r w:rsidRPr="00203429">
              <w:rPr>
                <w:b/>
                <w:sz w:val="20"/>
                <w:szCs w:val="20"/>
              </w:rPr>
              <w:t>Day 16</w:t>
            </w:r>
          </w:p>
        </w:tc>
        <w:tc>
          <w:tcPr>
            <w:tcW w:w="1422" w:type="dxa"/>
          </w:tcPr>
          <w:p w14:paraId="1DA95A82" w14:textId="77777777" w:rsidR="00043349" w:rsidRPr="00203429" w:rsidRDefault="00043349" w:rsidP="0027717A">
            <w:pPr>
              <w:jc w:val="center"/>
              <w:rPr>
                <w:b/>
                <w:sz w:val="20"/>
                <w:szCs w:val="20"/>
              </w:rPr>
            </w:pPr>
            <w:r w:rsidRPr="00203429">
              <w:rPr>
                <w:b/>
                <w:sz w:val="20"/>
                <w:szCs w:val="20"/>
              </w:rPr>
              <w:t>Day 17</w:t>
            </w:r>
          </w:p>
        </w:tc>
        <w:tc>
          <w:tcPr>
            <w:tcW w:w="1269" w:type="dxa"/>
          </w:tcPr>
          <w:p w14:paraId="0501E8F3" w14:textId="77777777" w:rsidR="00043349" w:rsidRPr="00203429" w:rsidRDefault="00043349" w:rsidP="0027717A">
            <w:pPr>
              <w:jc w:val="center"/>
              <w:rPr>
                <w:b/>
                <w:sz w:val="20"/>
                <w:szCs w:val="20"/>
              </w:rPr>
            </w:pPr>
            <w:r w:rsidRPr="00203429">
              <w:rPr>
                <w:b/>
                <w:sz w:val="20"/>
                <w:szCs w:val="20"/>
              </w:rPr>
              <w:t>Day 18</w:t>
            </w:r>
          </w:p>
        </w:tc>
        <w:tc>
          <w:tcPr>
            <w:tcW w:w="1749" w:type="dxa"/>
            <w:gridSpan w:val="2"/>
          </w:tcPr>
          <w:p w14:paraId="35525CD6" w14:textId="77777777" w:rsidR="00043349" w:rsidRPr="00203429" w:rsidRDefault="00043349" w:rsidP="0027717A">
            <w:pPr>
              <w:jc w:val="center"/>
              <w:rPr>
                <w:b/>
                <w:sz w:val="20"/>
                <w:szCs w:val="20"/>
              </w:rPr>
            </w:pPr>
            <w:r w:rsidRPr="00203429">
              <w:rPr>
                <w:b/>
                <w:sz w:val="20"/>
                <w:szCs w:val="20"/>
              </w:rPr>
              <w:t>Day 19</w:t>
            </w:r>
          </w:p>
        </w:tc>
        <w:tc>
          <w:tcPr>
            <w:tcW w:w="1225" w:type="dxa"/>
          </w:tcPr>
          <w:p w14:paraId="33C05E2D" w14:textId="77777777" w:rsidR="00043349" w:rsidRPr="00203429" w:rsidRDefault="00043349" w:rsidP="0027717A">
            <w:pPr>
              <w:jc w:val="center"/>
              <w:rPr>
                <w:b/>
                <w:sz w:val="20"/>
                <w:szCs w:val="20"/>
              </w:rPr>
            </w:pPr>
            <w:r w:rsidRPr="00203429">
              <w:rPr>
                <w:b/>
                <w:sz w:val="20"/>
                <w:szCs w:val="20"/>
              </w:rPr>
              <w:t>Day 20</w:t>
            </w:r>
          </w:p>
        </w:tc>
      </w:tr>
      <w:tr w:rsidR="00043349" w:rsidRPr="00203429" w14:paraId="71D7EB69" w14:textId="77777777" w:rsidTr="000A7E0D">
        <w:tc>
          <w:tcPr>
            <w:tcW w:w="1737" w:type="dxa"/>
          </w:tcPr>
          <w:p w14:paraId="21E1B83E" w14:textId="77777777" w:rsidR="00043349" w:rsidRPr="00203429" w:rsidRDefault="00043349" w:rsidP="0027717A">
            <w:pPr>
              <w:jc w:val="center"/>
              <w:rPr>
                <w:b/>
                <w:sz w:val="20"/>
                <w:szCs w:val="20"/>
              </w:rPr>
            </w:pPr>
            <w:r w:rsidRPr="00203429">
              <w:rPr>
                <w:b/>
                <w:sz w:val="20"/>
                <w:szCs w:val="20"/>
              </w:rPr>
              <w:t>Rapamycin  administration</w:t>
            </w:r>
          </w:p>
        </w:tc>
        <w:tc>
          <w:tcPr>
            <w:tcW w:w="1272" w:type="dxa"/>
          </w:tcPr>
          <w:p w14:paraId="6B65EB6D" w14:textId="77777777" w:rsidR="00043349" w:rsidRPr="00203429" w:rsidRDefault="00043349" w:rsidP="0027717A">
            <w:pPr>
              <w:jc w:val="center"/>
              <w:rPr>
                <w:sz w:val="20"/>
                <w:szCs w:val="20"/>
              </w:rPr>
            </w:pPr>
          </w:p>
        </w:tc>
        <w:tc>
          <w:tcPr>
            <w:tcW w:w="1170" w:type="dxa"/>
          </w:tcPr>
          <w:p w14:paraId="4005AAAF" w14:textId="77777777" w:rsidR="00043349" w:rsidRPr="00203429" w:rsidRDefault="00043349" w:rsidP="0027717A">
            <w:pPr>
              <w:jc w:val="center"/>
              <w:rPr>
                <w:sz w:val="20"/>
                <w:szCs w:val="20"/>
              </w:rPr>
            </w:pPr>
            <w:r w:rsidRPr="00203429">
              <w:rPr>
                <w:sz w:val="20"/>
                <w:szCs w:val="20"/>
              </w:rPr>
              <w:t>X</w:t>
            </w:r>
          </w:p>
        </w:tc>
        <w:tc>
          <w:tcPr>
            <w:tcW w:w="1172" w:type="dxa"/>
          </w:tcPr>
          <w:p w14:paraId="3471DF9B" w14:textId="77777777" w:rsidR="00043349" w:rsidRPr="00203429" w:rsidRDefault="00043349" w:rsidP="0027717A">
            <w:pPr>
              <w:jc w:val="center"/>
              <w:rPr>
                <w:sz w:val="20"/>
                <w:szCs w:val="20"/>
              </w:rPr>
            </w:pPr>
            <w:r w:rsidRPr="00203429">
              <w:rPr>
                <w:sz w:val="20"/>
                <w:szCs w:val="20"/>
              </w:rPr>
              <w:t>X</w:t>
            </w:r>
          </w:p>
        </w:tc>
        <w:tc>
          <w:tcPr>
            <w:tcW w:w="1422" w:type="dxa"/>
          </w:tcPr>
          <w:p w14:paraId="0F9C0398" w14:textId="77777777" w:rsidR="00043349" w:rsidRPr="00203429" w:rsidRDefault="00043349" w:rsidP="0027717A">
            <w:pPr>
              <w:jc w:val="center"/>
              <w:rPr>
                <w:sz w:val="20"/>
                <w:szCs w:val="20"/>
              </w:rPr>
            </w:pPr>
            <w:r w:rsidRPr="00203429">
              <w:rPr>
                <w:sz w:val="20"/>
                <w:szCs w:val="20"/>
              </w:rPr>
              <w:t>X</w:t>
            </w:r>
          </w:p>
        </w:tc>
        <w:tc>
          <w:tcPr>
            <w:tcW w:w="1269" w:type="dxa"/>
          </w:tcPr>
          <w:p w14:paraId="6F42A03A" w14:textId="77777777" w:rsidR="00043349" w:rsidRPr="00203429" w:rsidRDefault="00043349" w:rsidP="0027717A">
            <w:pPr>
              <w:jc w:val="center"/>
              <w:rPr>
                <w:sz w:val="20"/>
                <w:szCs w:val="20"/>
              </w:rPr>
            </w:pPr>
            <w:r w:rsidRPr="00203429">
              <w:rPr>
                <w:sz w:val="20"/>
                <w:szCs w:val="20"/>
              </w:rPr>
              <w:t>X</w:t>
            </w:r>
          </w:p>
        </w:tc>
        <w:tc>
          <w:tcPr>
            <w:tcW w:w="1749" w:type="dxa"/>
            <w:gridSpan w:val="2"/>
          </w:tcPr>
          <w:p w14:paraId="6A09D23F" w14:textId="77777777" w:rsidR="00043349" w:rsidRPr="00203429" w:rsidRDefault="00043349" w:rsidP="0027717A">
            <w:pPr>
              <w:jc w:val="center"/>
              <w:rPr>
                <w:sz w:val="20"/>
                <w:szCs w:val="20"/>
              </w:rPr>
            </w:pPr>
          </w:p>
        </w:tc>
        <w:tc>
          <w:tcPr>
            <w:tcW w:w="1225" w:type="dxa"/>
          </w:tcPr>
          <w:p w14:paraId="15D39A6C" w14:textId="77777777" w:rsidR="00043349" w:rsidRPr="00203429" w:rsidRDefault="00043349" w:rsidP="0027717A">
            <w:pPr>
              <w:jc w:val="center"/>
              <w:rPr>
                <w:sz w:val="20"/>
                <w:szCs w:val="20"/>
              </w:rPr>
            </w:pPr>
          </w:p>
        </w:tc>
      </w:tr>
      <w:tr w:rsidR="00043349" w:rsidRPr="00203429" w14:paraId="0FAC4F6E" w14:textId="77777777" w:rsidTr="000A7E0D">
        <w:tc>
          <w:tcPr>
            <w:tcW w:w="1737" w:type="dxa"/>
          </w:tcPr>
          <w:p w14:paraId="63BACC3E" w14:textId="77777777" w:rsidR="00043349" w:rsidRPr="00203429" w:rsidRDefault="00043349" w:rsidP="0027717A">
            <w:pPr>
              <w:jc w:val="center"/>
              <w:rPr>
                <w:b/>
                <w:sz w:val="20"/>
                <w:szCs w:val="20"/>
              </w:rPr>
            </w:pPr>
          </w:p>
        </w:tc>
        <w:tc>
          <w:tcPr>
            <w:tcW w:w="1272" w:type="dxa"/>
          </w:tcPr>
          <w:p w14:paraId="103A5858" w14:textId="77777777" w:rsidR="00043349" w:rsidRPr="00203429" w:rsidRDefault="00043349" w:rsidP="0027717A">
            <w:pPr>
              <w:jc w:val="center"/>
              <w:rPr>
                <w:b/>
                <w:sz w:val="20"/>
                <w:szCs w:val="20"/>
              </w:rPr>
            </w:pPr>
            <w:r w:rsidRPr="00203429">
              <w:rPr>
                <w:b/>
                <w:sz w:val="20"/>
                <w:szCs w:val="20"/>
              </w:rPr>
              <w:t>Day 21</w:t>
            </w:r>
          </w:p>
        </w:tc>
        <w:tc>
          <w:tcPr>
            <w:tcW w:w="1170" w:type="dxa"/>
          </w:tcPr>
          <w:p w14:paraId="295BD813" w14:textId="77777777" w:rsidR="00043349" w:rsidRPr="00203429" w:rsidRDefault="00043349" w:rsidP="0027717A">
            <w:pPr>
              <w:jc w:val="center"/>
              <w:rPr>
                <w:b/>
                <w:sz w:val="20"/>
                <w:szCs w:val="20"/>
              </w:rPr>
            </w:pPr>
            <w:r w:rsidRPr="00203429">
              <w:rPr>
                <w:b/>
                <w:sz w:val="20"/>
                <w:szCs w:val="20"/>
              </w:rPr>
              <w:t>Day 22</w:t>
            </w:r>
          </w:p>
        </w:tc>
        <w:tc>
          <w:tcPr>
            <w:tcW w:w="1172" w:type="dxa"/>
          </w:tcPr>
          <w:p w14:paraId="437D1BE8" w14:textId="77777777" w:rsidR="00043349" w:rsidRPr="00203429" w:rsidRDefault="00043349" w:rsidP="0027717A">
            <w:pPr>
              <w:jc w:val="center"/>
              <w:rPr>
                <w:b/>
                <w:sz w:val="20"/>
                <w:szCs w:val="20"/>
              </w:rPr>
            </w:pPr>
            <w:r w:rsidRPr="00203429">
              <w:rPr>
                <w:b/>
                <w:sz w:val="20"/>
                <w:szCs w:val="20"/>
              </w:rPr>
              <w:t>Day 23</w:t>
            </w:r>
          </w:p>
        </w:tc>
        <w:tc>
          <w:tcPr>
            <w:tcW w:w="1422" w:type="dxa"/>
          </w:tcPr>
          <w:p w14:paraId="31A4664E" w14:textId="77777777" w:rsidR="00043349" w:rsidRPr="00203429" w:rsidRDefault="00043349" w:rsidP="0027717A">
            <w:pPr>
              <w:jc w:val="center"/>
              <w:rPr>
                <w:b/>
                <w:sz w:val="20"/>
                <w:szCs w:val="20"/>
              </w:rPr>
            </w:pPr>
            <w:r w:rsidRPr="00203429">
              <w:rPr>
                <w:b/>
                <w:sz w:val="20"/>
                <w:szCs w:val="20"/>
              </w:rPr>
              <w:t>Day 24</w:t>
            </w:r>
          </w:p>
        </w:tc>
        <w:tc>
          <w:tcPr>
            <w:tcW w:w="1269" w:type="dxa"/>
          </w:tcPr>
          <w:p w14:paraId="0AF57BB5" w14:textId="77777777" w:rsidR="00043349" w:rsidRPr="00203429" w:rsidRDefault="00043349" w:rsidP="0027717A">
            <w:pPr>
              <w:jc w:val="center"/>
              <w:rPr>
                <w:b/>
                <w:sz w:val="20"/>
                <w:szCs w:val="20"/>
              </w:rPr>
            </w:pPr>
            <w:r w:rsidRPr="00203429">
              <w:rPr>
                <w:b/>
                <w:sz w:val="20"/>
                <w:szCs w:val="20"/>
              </w:rPr>
              <w:t>Day 25</w:t>
            </w:r>
          </w:p>
        </w:tc>
        <w:tc>
          <w:tcPr>
            <w:tcW w:w="1749" w:type="dxa"/>
            <w:gridSpan w:val="2"/>
          </w:tcPr>
          <w:p w14:paraId="0697792B" w14:textId="77777777" w:rsidR="00043349" w:rsidRPr="00203429" w:rsidRDefault="00043349" w:rsidP="0027717A">
            <w:pPr>
              <w:jc w:val="center"/>
              <w:rPr>
                <w:b/>
                <w:sz w:val="20"/>
                <w:szCs w:val="20"/>
              </w:rPr>
            </w:pPr>
            <w:r w:rsidRPr="00203429">
              <w:rPr>
                <w:b/>
                <w:sz w:val="20"/>
                <w:szCs w:val="20"/>
              </w:rPr>
              <w:t>Day 26</w:t>
            </w:r>
          </w:p>
        </w:tc>
        <w:tc>
          <w:tcPr>
            <w:tcW w:w="1225" w:type="dxa"/>
          </w:tcPr>
          <w:p w14:paraId="7C1012C0" w14:textId="77777777" w:rsidR="00043349" w:rsidRPr="00203429" w:rsidRDefault="00043349" w:rsidP="0027717A">
            <w:pPr>
              <w:jc w:val="center"/>
              <w:rPr>
                <w:b/>
                <w:sz w:val="20"/>
                <w:szCs w:val="20"/>
              </w:rPr>
            </w:pPr>
            <w:r w:rsidRPr="00203429">
              <w:rPr>
                <w:b/>
                <w:sz w:val="20"/>
                <w:szCs w:val="20"/>
              </w:rPr>
              <w:t>Day 27</w:t>
            </w:r>
          </w:p>
        </w:tc>
      </w:tr>
      <w:tr w:rsidR="00043349" w:rsidRPr="00203429" w14:paraId="58B7D5BD" w14:textId="77777777" w:rsidTr="000A7E0D">
        <w:tc>
          <w:tcPr>
            <w:tcW w:w="1737" w:type="dxa"/>
          </w:tcPr>
          <w:p w14:paraId="606FF637" w14:textId="77777777" w:rsidR="00043349" w:rsidRPr="00203429" w:rsidRDefault="00043349" w:rsidP="0027717A">
            <w:pPr>
              <w:jc w:val="center"/>
              <w:rPr>
                <w:b/>
                <w:sz w:val="20"/>
                <w:szCs w:val="20"/>
              </w:rPr>
            </w:pPr>
            <w:r w:rsidRPr="00203429">
              <w:rPr>
                <w:b/>
                <w:sz w:val="20"/>
                <w:szCs w:val="20"/>
              </w:rPr>
              <w:t>Rapamycin  administration</w:t>
            </w:r>
          </w:p>
        </w:tc>
        <w:tc>
          <w:tcPr>
            <w:tcW w:w="1272" w:type="dxa"/>
          </w:tcPr>
          <w:p w14:paraId="42459238" w14:textId="77777777" w:rsidR="00043349" w:rsidRPr="00203429" w:rsidRDefault="00043349" w:rsidP="0027717A">
            <w:pPr>
              <w:jc w:val="center"/>
              <w:rPr>
                <w:sz w:val="20"/>
                <w:szCs w:val="20"/>
              </w:rPr>
            </w:pPr>
          </w:p>
        </w:tc>
        <w:tc>
          <w:tcPr>
            <w:tcW w:w="1170" w:type="dxa"/>
          </w:tcPr>
          <w:p w14:paraId="020739F3" w14:textId="77777777" w:rsidR="00043349" w:rsidRPr="00203429" w:rsidRDefault="00043349" w:rsidP="0027717A">
            <w:pPr>
              <w:jc w:val="center"/>
              <w:rPr>
                <w:sz w:val="20"/>
                <w:szCs w:val="20"/>
              </w:rPr>
            </w:pPr>
            <w:r w:rsidRPr="00203429">
              <w:rPr>
                <w:sz w:val="20"/>
                <w:szCs w:val="20"/>
              </w:rPr>
              <w:t>X</w:t>
            </w:r>
          </w:p>
        </w:tc>
        <w:tc>
          <w:tcPr>
            <w:tcW w:w="1172" w:type="dxa"/>
          </w:tcPr>
          <w:p w14:paraId="6A46DD51" w14:textId="77777777" w:rsidR="00043349" w:rsidRPr="00203429" w:rsidRDefault="00043349" w:rsidP="0027717A">
            <w:pPr>
              <w:jc w:val="center"/>
              <w:rPr>
                <w:sz w:val="20"/>
                <w:szCs w:val="20"/>
              </w:rPr>
            </w:pPr>
            <w:r w:rsidRPr="00203429">
              <w:rPr>
                <w:sz w:val="20"/>
                <w:szCs w:val="20"/>
              </w:rPr>
              <w:t>X</w:t>
            </w:r>
          </w:p>
        </w:tc>
        <w:tc>
          <w:tcPr>
            <w:tcW w:w="1422" w:type="dxa"/>
          </w:tcPr>
          <w:p w14:paraId="3BA5558E" w14:textId="77777777" w:rsidR="00043349" w:rsidRPr="00203429" w:rsidRDefault="00043349" w:rsidP="0027717A">
            <w:pPr>
              <w:jc w:val="center"/>
              <w:rPr>
                <w:sz w:val="20"/>
                <w:szCs w:val="20"/>
              </w:rPr>
            </w:pPr>
            <w:r w:rsidRPr="00203429">
              <w:rPr>
                <w:sz w:val="20"/>
                <w:szCs w:val="20"/>
              </w:rPr>
              <w:t>X</w:t>
            </w:r>
          </w:p>
        </w:tc>
        <w:tc>
          <w:tcPr>
            <w:tcW w:w="1269" w:type="dxa"/>
          </w:tcPr>
          <w:p w14:paraId="50CFECFF" w14:textId="77777777" w:rsidR="00043349" w:rsidRPr="00203429" w:rsidRDefault="00043349" w:rsidP="0027717A">
            <w:pPr>
              <w:jc w:val="center"/>
              <w:rPr>
                <w:sz w:val="20"/>
                <w:szCs w:val="20"/>
              </w:rPr>
            </w:pPr>
            <w:r w:rsidRPr="00203429">
              <w:rPr>
                <w:sz w:val="20"/>
                <w:szCs w:val="20"/>
              </w:rPr>
              <w:t>X</w:t>
            </w:r>
          </w:p>
        </w:tc>
        <w:tc>
          <w:tcPr>
            <w:tcW w:w="1749" w:type="dxa"/>
            <w:gridSpan w:val="2"/>
          </w:tcPr>
          <w:p w14:paraId="53C3C641" w14:textId="77777777" w:rsidR="00043349" w:rsidRPr="00203429" w:rsidRDefault="00043349" w:rsidP="0027717A">
            <w:pPr>
              <w:jc w:val="center"/>
              <w:rPr>
                <w:sz w:val="20"/>
                <w:szCs w:val="20"/>
              </w:rPr>
            </w:pPr>
          </w:p>
        </w:tc>
        <w:tc>
          <w:tcPr>
            <w:tcW w:w="1225" w:type="dxa"/>
          </w:tcPr>
          <w:p w14:paraId="1899A0BB" w14:textId="77777777" w:rsidR="00043349" w:rsidRPr="00203429" w:rsidRDefault="00043349" w:rsidP="0027717A">
            <w:pPr>
              <w:jc w:val="center"/>
              <w:rPr>
                <w:sz w:val="20"/>
                <w:szCs w:val="20"/>
              </w:rPr>
            </w:pPr>
          </w:p>
        </w:tc>
      </w:tr>
      <w:tr w:rsidR="00043349" w:rsidRPr="00203429" w14:paraId="167701DB" w14:textId="77777777" w:rsidTr="000A7E0D">
        <w:tc>
          <w:tcPr>
            <w:tcW w:w="1737" w:type="dxa"/>
          </w:tcPr>
          <w:p w14:paraId="1F8F8928" w14:textId="77777777" w:rsidR="00043349" w:rsidRPr="00203429" w:rsidRDefault="00043349" w:rsidP="00024171">
            <w:pPr>
              <w:rPr>
                <w:b/>
                <w:sz w:val="20"/>
                <w:szCs w:val="20"/>
              </w:rPr>
            </w:pPr>
            <w:r w:rsidRPr="00203429">
              <w:rPr>
                <w:b/>
                <w:sz w:val="20"/>
                <w:szCs w:val="20"/>
              </w:rPr>
              <w:t>PK collection</w:t>
            </w:r>
          </w:p>
        </w:tc>
        <w:tc>
          <w:tcPr>
            <w:tcW w:w="1272" w:type="dxa"/>
          </w:tcPr>
          <w:p w14:paraId="608D80AC" w14:textId="77777777" w:rsidR="00043349" w:rsidRPr="00203429" w:rsidRDefault="00043349" w:rsidP="00024171">
            <w:pPr>
              <w:rPr>
                <w:sz w:val="20"/>
                <w:szCs w:val="20"/>
              </w:rPr>
            </w:pPr>
          </w:p>
        </w:tc>
        <w:tc>
          <w:tcPr>
            <w:tcW w:w="1170" w:type="dxa"/>
          </w:tcPr>
          <w:p w14:paraId="2F8E28B7" w14:textId="77777777" w:rsidR="00043349" w:rsidRPr="00203429" w:rsidRDefault="00043349" w:rsidP="00024171">
            <w:pPr>
              <w:rPr>
                <w:sz w:val="20"/>
                <w:szCs w:val="20"/>
              </w:rPr>
            </w:pPr>
          </w:p>
        </w:tc>
        <w:tc>
          <w:tcPr>
            <w:tcW w:w="1172" w:type="dxa"/>
          </w:tcPr>
          <w:p w14:paraId="7BBCD356" w14:textId="77777777" w:rsidR="00043349" w:rsidRPr="00203429" w:rsidRDefault="00043349" w:rsidP="00024171">
            <w:pPr>
              <w:rPr>
                <w:sz w:val="20"/>
                <w:szCs w:val="20"/>
              </w:rPr>
            </w:pPr>
          </w:p>
        </w:tc>
        <w:tc>
          <w:tcPr>
            <w:tcW w:w="1422" w:type="dxa"/>
          </w:tcPr>
          <w:p w14:paraId="160488CD" w14:textId="77777777" w:rsidR="00043349" w:rsidRPr="00203429" w:rsidRDefault="00043349" w:rsidP="00024171">
            <w:pPr>
              <w:rPr>
                <w:sz w:val="20"/>
                <w:szCs w:val="20"/>
              </w:rPr>
            </w:pPr>
          </w:p>
        </w:tc>
        <w:tc>
          <w:tcPr>
            <w:tcW w:w="3018" w:type="dxa"/>
            <w:gridSpan w:val="3"/>
          </w:tcPr>
          <w:p w14:paraId="4700CC02" w14:textId="03D3CE54" w:rsidR="00043349" w:rsidRPr="00203429" w:rsidRDefault="00043349" w:rsidP="000A7E0D">
            <w:pPr>
              <w:jc w:val="center"/>
              <w:rPr>
                <w:sz w:val="20"/>
                <w:szCs w:val="20"/>
              </w:rPr>
            </w:pPr>
            <w:r w:rsidRPr="00203429">
              <w:rPr>
                <w:sz w:val="20"/>
                <w:szCs w:val="20"/>
              </w:rPr>
              <w:t>multipoint 24 hr.</w:t>
            </w:r>
          </w:p>
          <w:p w14:paraId="049F30A9" w14:textId="77777777" w:rsidR="00043349" w:rsidRPr="00203429" w:rsidRDefault="00043349" w:rsidP="000A7E0D">
            <w:pPr>
              <w:jc w:val="center"/>
              <w:rPr>
                <w:sz w:val="20"/>
                <w:szCs w:val="20"/>
              </w:rPr>
            </w:pPr>
            <w:r w:rsidRPr="00203429">
              <w:rPr>
                <w:sz w:val="20"/>
                <w:szCs w:val="20"/>
              </w:rPr>
              <w:t>PK curve</w:t>
            </w:r>
          </w:p>
        </w:tc>
        <w:tc>
          <w:tcPr>
            <w:tcW w:w="1225" w:type="dxa"/>
          </w:tcPr>
          <w:p w14:paraId="6A1A8541" w14:textId="77777777" w:rsidR="00043349" w:rsidRPr="00203429" w:rsidRDefault="00043349" w:rsidP="00024171">
            <w:pPr>
              <w:rPr>
                <w:sz w:val="20"/>
                <w:szCs w:val="20"/>
              </w:rPr>
            </w:pPr>
          </w:p>
        </w:tc>
      </w:tr>
      <w:tr w:rsidR="000A7E0D" w:rsidRPr="00203429" w14:paraId="76FCD51B" w14:textId="77777777" w:rsidTr="000A7E0D">
        <w:tc>
          <w:tcPr>
            <w:tcW w:w="1737" w:type="dxa"/>
          </w:tcPr>
          <w:p w14:paraId="5F097186" w14:textId="7988954C" w:rsidR="000A7E0D" w:rsidRPr="00203429" w:rsidRDefault="000A7E0D" w:rsidP="00024171">
            <w:pPr>
              <w:rPr>
                <w:b/>
                <w:sz w:val="20"/>
                <w:szCs w:val="20"/>
              </w:rPr>
            </w:pPr>
            <w:r w:rsidRPr="00203429">
              <w:rPr>
                <w:b/>
                <w:sz w:val="20"/>
                <w:szCs w:val="20"/>
              </w:rPr>
              <w:t>PE/labwork</w:t>
            </w:r>
          </w:p>
        </w:tc>
        <w:tc>
          <w:tcPr>
            <w:tcW w:w="1272" w:type="dxa"/>
          </w:tcPr>
          <w:p w14:paraId="085512E7" w14:textId="77777777" w:rsidR="000A7E0D" w:rsidRPr="00203429" w:rsidRDefault="000A7E0D" w:rsidP="00024171">
            <w:pPr>
              <w:rPr>
                <w:sz w:val="20"/>
                <w:szCs w:val="20"/>
              </w:rPr>
            </w:pPr>
          </w:p>
        </w:tc>
        <w:tc>
          <w:tcPr>
            <w:tcW w:w="1170" w:type="dxa"/>
          </w:tcPr>
          <w:p w14:paraId="42C2D21A" w14:textId="77777777" w:rsidR="000A7E0D" w:rsidRPr="00203429" w:rsidRDefault="000A7E0D" w:rsidP="00024171">
            <w:pPr>
              <w:rPr>
                <w:sz w:val="20"/>
                <w:szCs w:val="20"/>
              </w:rPr>
            </w:pPr>
          </w:p>
        </w:tc>
        <w:tc>
          <w:tcPr>
            <w:tcW w:w="1172" w:type="dxa"/>
          </w:tcPr>
          <w:p w14:paraId="47031366" w14:textId="77777777" w:rsidR="000A7E0D" w:rsidRPr="00203429" w:rsidRDefault="000A7E0D" w:rsidP="00024171">
            <w:pPr>
              <w:rPr>
                <w:sz w:val="20"/>
                <w:szCs w:val="20"/>
              </w:rPr>
            </w:pPr>
          </w:p>
        </w:tc>
        <w:tc>
          <w:tcPr>
            <w:tcW w:w="1422" w:type="dxa"/>
          </w:tcPr>
          <w:p w14:paraId="5C0C15BB" w14:textId="77777777" w:rsidR="000A7E0D" w:rsidRPr="00203429" w:rsidRDefault="000A7E0D" w:rsidP="00024171">
            <w:pPr>
              <w:rPr>
                <w:sz w:val="20"/>
                <w:szCs w:val="20"/>
              </w:rPr>
            </w:pPr>
          </w:p>
        </w:tc>
        <w:tc>
          <w:tcPr>
            <w:tcW w:w="1509" w:type="dxa"/>
            <w:gridSpan w:val="2"/>
          </w:tcPr>
          <w:p w14:paraId="0AB521D4" w14:textId="77777777" w:rsidR="000A7E0D" w:rsidRPr="00203429" w:rsidRDefault="000A7E0D" w:rsidP="000A7E0D">
            <w:pPr>
              <w:jc w:val="center"/>
              <w:rPr>
                <w:sz w:val="20"/>
                <w:szCs w:val="20"/>
              </w:rPr>
            </w:pPr>
            <w:r w:rsidRPr="00203429">
              <w:rPr>
                <w:sz w:val="20"/>
                <w:szCs w:val="20"/>
              </w:rPr>
              <w:t>X</w:t>
            </w:r>
          </w:p>
        </w:tc>
        <w:tc>
          <w:tcPr>
            <w:tcW w:w="1509" w:type="dxa"/>
          </w:tcPr>
          <w:p w14:paraId="56AA936E" w14:textId="4BDA2473" w:rsidR="000A7E0D" w:rsidRPr="00203429" w:rsidRDefault="000A7E0D" w:rsidP="000A7E0D">
            <w:pPr>
              <w:jc w:val="center"/>
              <w:rPr>
                <w:sz w:val="20"/>
                <w:szCs w:val="20"/>
              </w:rPr>
            </w:pPr>
          </w:p>
        </w:tc>
        <w:tc>
          <w:tcPr>
            <w:tcW w:w="1225" w:type="dxa"/>
          </w:tcPr>
          <w:p w14:paraId="68E6BD66" w14:textId="77777777" w:rsidR="000A7E0D" w:rsidRPr="00203429" w:rsidRDefault="000A7E0D" w:rsidP="00024171">
            <w:pPr>
              <w:rPr>
                <w:sz w:val="20"/>
                <w:szCs w:val="20"/>
              </w:rPr>
            </w:pPr>
          </w:p>
        </w:tc>
      </w:tr>
      <w:tr w:rsidR="000A7E0D" w:rsidRPr="00203429" w14:paraId="680F0252" w14:textId="77777777" w:rsidTr="000A7E0D">
        <w:tc>
          <w:tcPr>
            <w:tcW w:w="1737" w:type="dxa"/>
          </w:tcPr>
          <w:p w14:paraId="7929B08A" w14:textId="63EF9F75" w:rsidR="000A7E0D" w:rsidRPr="00203429" w:rsidRDefault="000A7E0D" w:rsidP="00655818">
            <w:pPr>
              <w:rPr>
                <w:b/>
                <w:sz w:val="20"/>
                <w:szCs w:val="20"/>
              </w:rPr>
            </w:pPr>
            <w:r w:rsidRPr="00203429">
              <w:rPr>
                <w:b/>
                <w:sz w:val="20"/>
                <w:szCs w:val="20"/>
              </w:rPr>
              <w:t xml:space="preserve">Serum, </w:t>
            </w:r>
            <w:r w:rsidR="00655818" w:rsidRPr="00203429">
              <w:rPr>
                <w:b/>
                <w:sz w:val="20"/>
                <w:szCs w:val="20"/>
              </w:rPr>
              <w:t>Whole Blood</w:t>
            </w:r>
            <w:r w:rsidRPr="00203429">
              <w:rPr>
                <w:b/>
                <w:sz w:val="20"/>
                <w:szCs w:val="20"/>
              </w:rPr>
              <w:t>, PB</w:t>
            </w:r>
            <w:r w:rsidR="002A064E" w:rsidRPr="00203429">
              <w:rPr>
                <w:b/>
                <w:sz w:val="20"/>
                <w:szCs w:val="20"/>
              </w:rPr>
              <w:t>M</w:t>
            </w:r>
            <w:r w:rsidRPr="00203429">
              <w:rPr>
                <w:b/>
                <w:sz w:val="20"/>
                <w:szCs w:val="20"/>
              </w:rPr>
              <w:t>C</w:t>
            </w:r>
          </w:p>
        </w:tc>
        <w:tc>
          <w:tcPr>
            <w:tcW w:w="1272" w:type="dxa"/>
          </w:tcPr>
          <w:p w14:paraId="4F668DC6" w14:textId="77777777" w:rsidR="000A7E0D" w:rsidRPr="00203429" w:rsidRDefault="000A7E0D" w:rsidP="00024171">
            <w:pPr>
              <w:rPr>
                <w:sz w:val="20"/>
                <w:szCs w:val="20"/>
              </w:rPr>
            </w:pPr>
          </w:p>
        </w:tc>
        <w:tc>
          <w:tcPr>
            <w:tcW w:w="1170" w:type="dxa"/>
          </w:tcPr>
          <w:p w14:paraId="2C59D7A5" w14:textId="77777777" w:rsidR="000A7E0D" w:rsidRPr="00203429" w:rsidRDefault="000A7E0D" w:rsidP="00024171">
            <w:pPr>
              <w:rPr>
                <w:sz w:val="20"/>
                <w:szCs w:val="20"/>
              </w:rPr>
            </w:pPr>
          </w:p>
        </w:tc>
        <w:tc>
          <w:tcPr>
            <w:tcW w:w="1172" w:type="dxa"/>
          </w:tcPr>
          <w:p w14:paraId="0DB2B24E" w14:textId="77777777" w:rsidR="000A7E0D" w:rsidRPr="00203429" w:rsidRDefault="000A7E0D" w:rsidP="00024171">
            <w:pPr>
              <w:rPr>
                <w:sz w:val="20"/>
                <w:szCs w:val="20"/>
              </w:rPr>
            </w:pPr>
          </w:p>
        </w:tc>
        <w:tc>
          <w:tcPr>
            <w:tcW w:w="1422" w:type="dxa"/>
          </w:tcPr>
          <w:p w14:paraId="1B6F1A41" w14:textId="77777777" w:rsidR="000A7E0D" w:rsidRPr="00203429" w:rsidRDefault="000A7E0D" w:rsidP="00024171">
            <w:pPr>
              <w:rPr>
                <w:sz w:val="20"/>
                <w:szCs w:val="20"/>
              </w:rPr>
            </w:pPr>
          </w:p>
        </w:tc>
        <w:tc>
          <w:tcPr>
            <w:tcW w:w="1509" w:type="dxa"/>
            <w:gridSpan w:val="2"/>
          </w:tcPr>
          <w:p w14:paraId="53C93CA0" w14:textId="77777777" w:rsidR="000A7E0D" w:rsidRPr="00203429" w:rsidRDefault="000A7E0D" w:rsidP="000A7E0D">
            <w:pPr>
              <w:jc w:val="center"/>
              <w:rPr>
                <w:sz w:val="20"/>
                <w:szCs w:val="20"/>
              </w:rPr>
            </w:pPr>
            <w:r w:rsidRPr="00203429">
              <w:rPr>
                <w:sz w:val="20"/>
                <w:szCs w:val="20"/>
              </w:rPr>
              <w:t>X</w:t>
            </w:r>
          </w:p>
        </w:tc>
        <w:tc>
          <w:tcPr>
            <w:tcW w:w="1509" w:type="dxa"/>
          </w:tcPr>
          <w:p w14:paraId="104EE0C5" w14:textId="611A94BF" w:rsidR="000A7E0D" w:rsidRPr="00203429" w:rsidRDefault="000A7E0D" w:rsidP="000A7E0D">
            <w:pPr>
              <w:jc w:val="center"/>
              <w:rPr>
                <w:sz w:val="20"/>
                <w:szCs w:val="20"/>
              </w:rPr>
            </w:pPr>
          </w:p>
        </w:tc>
        <w:tc>
          <w:tcPr>
            <w:tcW w:w="1225" w:type="dxa"/>
          </w:tcPr>
          <w:p w14:paraId="3D119F09" w14:textId="77777777" w:rsidR="000A7E0D" w:rsidRPr="00203429" w:rsidRDefault="000A7E0D" w:rsidP="00024171">
            <w:pPr>
              <w:rPr>
                <w:sz w:val="20"/>
                <w:szCs w:val="20"/>
              </w:rPr>
            </w:pPr>
          </w:p>
        </w:tc>
      </w:tr>
    </w:tbl>
    <w:p w14:paraId="602603DB" w14:textId="77777777" w:rsidR="00043349" w:rsidRPr="00203429" w:rsidRDefault="00043349" w:rsidP="00043349">
      <w:pPr>
        <w:spacing w:after="200" w:line="276" w:lineRule="auto"/>
        <w:rPr>
          <w:b/>
          <w:sz w:val="20"/>
          <w:szCs w:val="20"/>
          <w:u w:val="single"/>
        </w:rPr>
      </w:pPr>
    </w:p>
    <w:p w14:paraId="2D6ECACB" w14:textId="6ED1A65B" w:rsidR="00043349" w:rsidRPr="00B33834" w:rsidRDefault="0027717A" w:rsidP="00043349">
      <w:pPr>
        <w:spacing w:after="200" w:line="276" w:lineRule="auto"/>
        <w:rPr>
          <w:b/>
          <w:u w:val="single"/>
        </w:rPr>
      </w:pPr>
      <w:r>
        <w:rPr>
          <w:b/>
          <w:u w:val="single"/>
        </w:rPr>
        <w:t xml:space="preserve">Table </w:t>
      </w:r>
      <w:r w:rsidR="000A7E0D">
        <w:rPr>
          <w:b/>
          <w:u w:val="single"/>
        </w:rPr>
        <w:t>III</w:t>
      </w:r>
      <w:r>
        <w:rPr>
          <w:b/>
          <w:u w:val="single"/>
        </w:rPr>
        <w:t xml:space="preserve">: </w:t>
      </w:r>
      <w:r w:rsidR="00043349" w:rsidRPr="00B33834">
        <w:rPr>
          <w:b/>
          <w:u w:val="single"/>
        </w:rPr>
        <w:t>PK</w:t>
      </w:r>
      <w:r w:rsidR="000A7E0D">
        <w:rPr>
          <w:b/>
          <w:u w:val="single"/>
        </w:rPr>
        <w:t xml:space="preserve"> Whole Blood Collection Curve</w:t>
      </w:r>
    </w:p>
    <w:tbl>
      <w:tblPr>
        <w:tblW w:w="78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82"/>
        <w:gridCol w:w="1070"/>
        <w:gridCol w:w="781"/>
        <w:gridCol w:w="754"/>
        <w:gridCol w:w="677"/>
        <w:gridCol w:w="677"/>
        <w:gridCol w:w="677"/>
        <w:gridCol w:w="1094"/>
      </w:tblGrid>
      <w:tr w:rsidR="00043349" w:rsidRPr="00B33834" w14:paraId="21EB1991" w14:textId="77777777" w:rsidTr="00024171">
        <w:trPr>
          <w:trHeight w:val="396"/>
        </w:trPr>
        <w:tc>
          <w:tcPr>
            <w:tcW w:w="2082" w:type="dxa"/>
            <w:shd w:val="solid" w:color="BFBFBF" w:fill="FFFFFF"/>
          </w:tcPr>
          <w:p w14:paraId="0E66863F"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Time</w:t>
            </w:r>
          </w:p>
        </w:tc>
        <w:tc>
          <w:tcPr>
            <w:tcW w:w="1070" w:type="dxa"/>
            <w:shd w:val="solid" w:color="BFBFBF" w:fill="FFFFFF"/>
          </w:tcPr>
          <w:p w14:paraId="0E38D0B8"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0 (trough)</w:t>
            </w:r>
          </w:p>
        </w:tc>
        <w:tc>
          <w:tcPr>
            <w:tcW w:w="781" w:type="dxa"/>
            <w:shd w:val="solid" w:color="BFBFBF" w:fill="FFFFFF"/>
          </w:tcPr>
          <w:p w14:paraId="34ABCE4E"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1 (hr)</w:t>
            </w:r>
          </w:p>
        </w:tc>
        <w:tc>
          <w:tcPr>
            <w:tcW w:w="754" w:type="dxa"/>
            <w:shd w:val="solid" w:color="BFBFBF" w:fill="FFFFFF"/>
          </w:tcPr>
          <w:p w14:paraId="3E16474D"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2</w:t>
            </w:r>
          </w:p>
        </w:tc>
        <w:tc>
          <w:tcPr>
            <w:tcW w:w="677" w:type="dxa"/>
            <w:shd w:val="solid" w:color="BFBFBF" w:fill="FFFFFF"/>
          </w:tcPr>
          <w:p w14:paraId="77BA1AF4"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4</w:t>
            </w:r>
          </w:p>
        </w:tc>
        <w:tc>
          <w:tcPr>
            <w:tcW w:w="677" w:type="dxa"/>
            <w:shd w:val="solid" w:color="BFBFBF" w:fill="FFFFFF"/>
          </w:tcPr>
          <w:p w14:paraId="39A8F582"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6</w:t>
            </w:r>
          </w:p>
        </w:tc>
        <w:tc>
          <w:tcPr>
            <w:tcW w:w="677" w:type="dxa"/>
            <w:shd w:val="solid" w:color="BFBFBF" w:fill="FFFFFF"/>
          </w:tcPr>
          <w:p w14:paraId="21DF413D"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8</w:t>
            </w:r>
          </w:p>
        </w:tc>
        <w:tc>
          <w:tcPr>
            <w:tcW w:w="1094" w:type="dxa"/>
            <w:shd w:val="solid" w:color="BFBFBF" w:fill="FFFFFF"/>
          </w:tcPr>
          <w:p w14:paraId="0CD67FCE" w14:textId="3C943618"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r w:rsidRPr="00203429">
              <w:rPr>
                <w:b/>
                <w:sz w:val="20"/>
                <w:szCs w:val="20"/>
              </w:rPr>
              <w:t>24</w:t>
            </w:r>
            <w:r w:rsidR="000A7E0D" w:rsidRPr="00203429">
              <w:rPr>
                <w:b/>
                <w:sz w:val="20"/>
                <w:szCs w:val="20"/>
              </w:rPr>
              <w:t xml:space="preserve"> hr</w:t>
            </w:r>
          </w:p>
          <w:p w14:paraId="1BF1AF9F" w14:textId="2F8C8342" w:rsidR="00043349" w:rsidRPr="00203429" w:rsidRDefault="00043349" w:rsidP="000A7E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b/>
                <w:sz w:val="20"/>
                <w:szCs w:val="20"/>
              </w:rPr>
            </w:pPr>
          </w:p>
        </w:tc>
      </w:tr>
      <w:tr w:rsidR="00043349" w:rsidRPr="00B33834" w14:paraId="3E896F2A" w14:textId="77777777" w:rsidTr="00024171">
        <w:trPr>
          <w:trHeight w:val="623"/>
        </w:trPr>
        <w:tc>
          <w:tcPr>
            <w:tcW w:w="2082" w:type="dxa"/>
          </w:tcPr>
          <w:p w14:paraId="534088FF"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Whole blood collection</w:t>
            </w:r>
          </w:p>
        </w:tc>
        <w:tc>
          <w:tcPr>
            <w:tcW w:w="1070" w:type="dxa"/>
            <w:vAlign w:val="center"/>
          </w:tcPr>
          <w:p w14:paraId="6DD476C0"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781" w:type="dxa"/>
            <w:vAlign w:val="center"/>
          </w:tcPr>
          <w:p w14:paraId="0ADC94F8"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754" w:type="dxa"/>
            <w:vAlign w:val="center"/>
          </w:tcPr>
          <w:p w14:paraId="4B4BB341"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677" w:type="dxa"/>
            <w:vAlign w:val="center"/>
          </w:tcPr>
          <w:p w14:paraId="32289131"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677" w:type="dxa"/>
            <w:vAlign w:val="center"/>
          </w:tcPr>
          <w:p w14:paraId="5956D0B4"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677" w:type="dxa"/>
            <w:vAlign w:val="center"/>
          </w:tcPr>
          <w:p w14:paraId="7291634D"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c>
          <w:tcPr>
            <w:tcW w:w="1094" w:type="dxa"/>
            <w:vAlign w:val="center"/>
          </w:tcPr>
          <w:p w14:paraId="4E9B7FFA" w14:textId="77777777" w:rsidR="00043349" w:rsidRPr="00203429" w:rsidRDefault="00043349" w:rsidP="000241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center"/>
              <w:rPr>
                <w:sz w:val="20"/>
                <w:szCs w:val="20"/>
              </w:rPr>
            </w:pPr>
            <w:r w:rsidRPr="00203429">
              <w:rPr>
                <w:sz w:val="20"/>
                <w:szCs w:val="20"/>
              </w:rPr>
              <w:t>X</w:t>
            </w:r>
          </w:p>
        </w:tc>
      </w:tr>
    </w:tbl>
    <w:p w14:paraId="397A73D4" w14:textId="77777777" w:rsidR="00043349" w:rsidRDefault="00043349" w:rsidP="00043349">
      <w:pPr>
        <w:jc w:val="both"/>
        <w:rPr>
          <w:b/>
        </w:rPr>
      </w:pPr>
    </w:p>
    <w:p w14:paraId="7BE7D383" w14:textId="77777777" w:rsidR="000A7E0D" w:rsidRDefault="000A7E0D" w:rsidP="00043349">
      <w:pPr>
        <w:jc w:val="both"/>
        <w:rPr>
          <w:b/>
        </w:rPr>
      </w:pPr>
    </w:p>
    <w:p w14:paraId="07AA3C82" w14:textId="77777777" w:rsidR="000A7E0D" w:rsidRDefault="000A7E0D" w:rsidP="00043349">
      <w:pPr>
        <w:jc w:val="both"/>
        <w:rPr>
          <w:b/>
        </w:rPr>
      </w:pPr>
    </w:p>
    <w:p w14:paraId="28DFFAB4" w14:textId="77777777" w:rsidR="000A7E0D" w:rsidRDefault="000A7E0D" w:rsidP="00043349">
      <w:pPr>
        <w:jc w:val="both"/>
        <w:rPr>
          <w:b/>
        </w:rPr>
      </w:pPr>
    </w:p>
    <w:p w14:paraId="33A19D10" w14:textId="77777777" w:rsidR="000A7E0D" w:rsidRDefault="000A7E0D" w:rsidP="00043349">
      <w:pPr>
        <w:jc w:val="both"/>
        <w:rPr>
          <w:b/>
        </w:rPr>
      </w:pPr>
    </w:p>
    <w:p w14:paraId="5A134833" w14:textId="77777777" w:rsidR="000A7E0D" w:rsidRDefault="000A7E0D" w:rsidP="00043349">
      <w:pPr>
        <w:jc w:val="both"/>
        <w:rPr>
          <w:b/>
        </w:rPr>
      </w:pPr>
    </w:p>
    <w:p w14:paraId="30C5C11E" w14:textId="77777777" w:rsidR="000A7E0D" w:rsidRDefault="000A7E0D" w:rsidP="00043349">
      <w:pPr>
        <w:jc w:val="both"/>
        <w:rPr>
          <w:b/>
        </w:rPr>
      </w:pPr>
    </w:p>
    <w:p w14:paraId="2D8E67A7" w14:textId="77777777" w:rsidR="000A7E0D" w:rsidRDefault="000A7E0D" w:rsidP="00043349">
      <w:pPr>
        <w:jc w:val="both"/>
        <w:rPr>
          <w:b/>
        </w:rPr>
      </w:pPr>
    </w:p>
    <w:p w14:paraId="4B2B3DA5" w14:textId="77777777" w:rsidR="000A7E0D" w:rsidRDefault="000A7E0D" w:rsidP="00043349">
      <w:pPr>
        <w:jc w:val="both"/>
        <w:rPr>
          <w:b/>
        </w:rPr>
      </w:pPr>
    </w:p>
    <w:p w14:paraId="54E8C3D3" w14:textId="77777777" w:rsidR="000A7E0D" w:rsidRDefault="000A7E0D" w:rsidP="00043349">
      <w:pPr>
        <w:jc w:val="both"/>
        <w:rPr>
          <w:b/>
        </w:rPr>
      </w:pPr>
    </w:p>
    <w:p w14:paraId="00AD4A2D" w14:textId="77777777" w:rsidR="000A7E0D" w:rsidRDefault="000A7E0D" w:rsidP="00043349">
      <w:pPr>
        <w:jc w:val="both"/>
        <w:rPr>
          <w:b/>
        </w:rPr>
      </w:pPr>
    </w:p>
    <w:p w14:paraId="13034FA1" w14:textId="77777777" w:rsidR="000A7E0D" w:rsidRDefault="000A7E0D" w:rsidP="00043349">
      <w:pPr>
        <w:jc w:val="both"/>
        <w:rPr>
          <w:b/>
        </w:rPr>
      </w:pPr>
    </w:p>
    <w:p w14:paraId="01129E92" w14:textId="77777777" w:rsidR="000A7E0D" w:rsidRDefault="000A7E0D" w:rsidP="00043349">
      <w:pPr>
        <w:jc w:val="both"/>
        <w:rPr>
          <w:b/>
        </w:rPr>
      </w:pPr>
    </w:p>
    <w:p w14:paraId="16D07001" w14:textId="77777777" w:rsidR="000A7E0D" w:rsidRDefault="000A7E0D" w:rsidP="00043349">
      <w:pPr>
        <w:jc w:val="both"/>
        <w:rPr>
          <w:b/>
        </w:rPr>
      </w:pPr>
    </w:p>
    <w:p w14:paraId="2207A8B0" w14:textId="77777777" w:rsidR="00203429" w:rsidRDefault="00203429" w:rsidP="00043349">
      <w:pPr>
        <w:jc w:val="both"/>
        <w:rPr>
          <w:b/>
        </w:rPr>
      </w:pPr>
    </w:p>
    <w:p w14:paraId="1ADF34F7" w14:textId="77777777" w:rsidR="00203429" w:rsidRDefault="00203429" w:rsidP="00043349">
      <w:pPr>
        <w:jc w:val="both"/>
        <w:rPr>
          <w:b/>
        </w:rPr>
      </w:pPr>
    </w:p>
    <w:p w14:paraId="7FFFB713" w14:textId="77777777" w:rsidR="00203429" w:rsidRDefault="00203429" w:rsidP="00043349">
      <w:pPr>
        <w:jc w:val="both"/>
        <w:rPr>
          <w:b/>
        </w:rPr>
      </w:pPr>
    </w:p>
    <w:p w14:paraId="101F61D2" w14:textId="77777777" w:rsidR="00203429" w:rsidRDefault="00203429" w:rsidP="00043349">
      <w:pPr>
        <w:jc w:val="both"/>
        <w:rPr>
          <w:b/>
        </w:rPr>
      </w:pPr>
    </w:p>
    <w:p w14:paraId="556598D3" w14:textId="77777777" w:rsidR="000A7E0D" w:rsidRDefault="000A7E0D" w:rsidP="00043349">
      <w:pPr>
        <w:jc w:val="both"/>
        <w:rPr>
          <w:b/>
        </w:rPr>
      </w:pPr>
    </w:p>
    <w:p w14:paraId="35A4C06A" w14:textId="77777777" w:rsidR="000A7E0D" w:rsidRDefault="000A7E0D" w:rsidP="00043349">
      <w:pPr>
        <w:jc w:val="both"/>
        <w:rPr>
          <w:b/>
        </w:rPr>
      </w:pPr>
    </w:p>
    <w:p w14:paraId="0C7677EE" w14:textId="77777777" w:rsidR="000A7E0D" w:rsidRDefault="000A7E0D" w:rsidP="00043349">
      <w:pPr>
        <w:jc w:val="both"/>
        <w:rPr>
          <w:b/>
        </w:rPr>
      </w:pPr>
    </w:p>
    <w:p w14:paraId="37E39BA3" w14:textId="31D67C34" w:rsidR="000A7E0D" w:rsidRDefault="000A7E0D" w:rsidP="00043349">
      <w:pPr>
        <w:jc w:val="both"/>
        <w:rPr>
          <w:b/>
        </w:rPr>
      </w:pPr>
      <w:r>
        <w:rPr>
          <w:b/>
        </w:rPr>
        <w:t>Table IV: Cycle 2, 3 and 4 of Rapamycin therapy</w:t>
      </w:r>
    </w:p>
    <w:p w14:paraId="30255B5C" w14:textId="77777777" w:rsidR="00F00440" w:rsidRDefault="00F00440" w:rsidP="0043247C">
      <w:pPr>
        <w:jc w:val="both"/>
        <w:rPr>
          <w:b/>
        </w:rPr>
      </w:pPr>
    </w:p>
    <w:tbl>
      <w:tblPr>
        <w:tblStyle w:val="TableGrid"/>
        <w:tblW w:w="11016" w:type="dxa"/>
        <w:tblLook w:val="04A0" w:firstRow="1" w:lastRow="0" w:firstColumn="1" w:lastColumn="0" w:noHBand="0" w:noVBand="1"/>
      </w:tblPr>
      <w:tblGrid>
        <w:gridCol w:w="2268"/>
        <w:gridCol w:w="1038"/>
        <w:gridCol w:w="1135"/>
        <w:gridCol w:w="1139"/>
        <w:gridCol w:w="1391"/>
        <w:gridCol w:w="1238"/>
        <w:gridCol w:w="221"/>
        <w:gridCol w:w="1392"/>
        <w:gridCol w:w="1194"/>
      </w:tblGrid>
      <w:tr w:rsidR="001A714E" w:rsidRPr="00203429" w14:paraId="5514743D" w14:textId="77777777" w:rsidTr="001A714E">
        <w:tc>
          <w:tcPr>
            <w:tcW w:w="2268" w:type="dxa"/>
          </w:tcPr>
          <w:p w14:paraId="5B0633DB" w14:textId="77777777" w:rsidR="000A7E0D" w:rsidRPr="00203429" w:rsidRDefault="000A7E0D" w:rsidP="000A7E0D">
            <w:pPr>
              <w:jc w:val="center"/>
              <w:rPr>
                <w:sz w:val="20"/>
                <w:szCs w:val="20"/>
              </w:rPr>
            </w:pPr>
          </w:p>
        </w:tc>
        <w:tc>
          <w:tcPr>
            <w:tcW w:w="1038" w:type="dxa"/>
          </w:tcPr>
          <w:p w14:paraId="18004090" w14:textId="77777777" w:rsidR="000A7E0D" w:rsidRPr="00203429" w:rsidRDefault="000A7E0D" w:rsidP="000A7E0D">
            <w:pPr>
              <w:jc w:val="center"/>
              <w:rPr>
                <w:b/>
                <w:sz w:val="20"/>
                <w:szCs w:val="20"/>
              </w:rPr>
            </w:pPr>
            <w:r w:rsidRPr="00203429">
              <w:rPr>
                <w:b/>
                <w:sz w:val="20"/>
                <w:szCs w:val="20"/>
              </w:rPr>
              <w:t>Sunday</w:t>
            </w:r>
          </w:p>
        </w:tc>
        <w:tc>
          <w:tcPr>
            <w:tcW w:w="1135" w:type="dxa"/>
          </w:tcPr>
          <w:p w14:paraId="5CB98C48" w14:textId="77777777" w:rsidR="000A7E0D" w:rsidRPr="00203429" w:rsidRDefault="000A7E0D" w:rsidP="000A7E0D">
            <w:pPr>
              <w:jc w:val="center"/>
              <w:rPr>
                <w:b/>
                <w:sz w:val="20"/>
                <w:szCs w:val="20"/>
              </w:rPr>
            </w:pPr>
            <w:r w:rsidRPr="00203429">
              <w:rPr>
                <w:b/>
                <w:sz w:val="20"/>
                <w:szCs w:val="20"/>
              </w:rPr>
              <w:t>Monday</w:t>
            </w:r>
          </w:p>
        </w:tc>
        <w:tc>
          <w:tcPr>
            <w:tcW w:w="1139" w:type="dxa"/>
          </w:tcPr>
          <w:p w14:paraId="55479A4B" w14:textId="77777777" w:rsidR="000A7E0D" w:rsidRPr="00203429" w:rsidRDefault="000A7E0D" w:rsidP="000A7E0D">
            <w:pPr>
              <w:jc w:val="center"/>
              <w:rPr>
                <w:b/>
                <w:sz w:val="20"/>
                <w:szCs w:val="20"/>
              </w:rPr>
            </w:pPr>
            <w:r w:rsidRPr="00203429">
              <w:rPr>
                <w:b/>
                <w:sz w:val="20"/>
                <w:szCs w:val="20"/>
              </w:rPr>
              <w:t>Tuesday</w:t>
            </w:r>
          </w:p>
        </w:tc>
        <w:tc>
          <w:tcPr>
            <w:tcW w:w="1391" w:type="dxa"/>
          </w:tcPr>
          <w:p w14:paraId="36F71DEB" w14:textId="77777777" w:rsidR="000A7E0D" w:rsidRPr="00203429" w:rsidRDefault="000A7E0D" w:rsidP="000A7E0D">
            <w:pPr>
              <w:jc w:val="center"/>
              <w:rPr>
                <w:b/>
                <w:sz w:val="20"/>
                <w:szCs w:val="20"/>
              </w:rPr>
            </w:pPr>
            <w:r w:rsidRPr="00203429">
              <w:rPr>
                <w:b/>
                <w:sz w:val="20"/>
                <w:szCs w:val="20"/>
              </w:rPr>
              <w:t>Wednesday</w:t>
            </w:r>
          </w:p>
        </w:tc>
        <w:tc>
          <w:tcPr>
            <w:tcW w:w="1238" w:type="dxa"/>
          </w:tcPr>
          <w:p w14:paraId="41437EB6" w14:textId="77777777" w:rsidR="000A7E0D" w:rsidRPr="00203429" w:rsidRDefault="000A7E0D" w:rsidP="000A7E0D">
            <w:pPr>
              <w:jc w:val="center"/>
              <w:rPr>
                <w:b/>
                <w:sz w:val="20"/>
                <w:szCs w:val="20"/>
              </w:rPr>
            </w:pPr>
            <w:r w:rsidRPr="00203429">
              <w:rPr>
                <w:b/>
                <w:sz w:val="20"/>
                <w:szCs w:val="20"/>
              </w:rPr>
              <w:t>Thursday</w:t>
            </w:r>
          </w:p>
        </w:tc>
        <w:tc>
          <w:tcPr>
            <w:tcW w:w="1613" w:type="dxa"/>
            <w:gridSpan w:val="2"/>
          </w:tcPr>
          <w:p w14:paraId="5560EAC0" w14:textId="77777777" w:rsidR="000A7E0D" w:rsidRPr="00203429" w:rsidRDefault="000A7E0D" w:rsidP="000A7E0D">
            <w:pPr>
              <w:jc w:val="center"/>
              <w:rPr>
                <w:b/>
                <w:sz w:val="20"/>
                <w:szCs w:val="20"/>
              </w:rPr>
            </w:pPr>
            <w:r w:rsidRPr="00203429">
              <w:rPr>
                <w:b/>
                <w:sz w:val="20"/>
                <w:szCs w:val="20"/>
              </w:rPr>
              <w:t>Friday</w:t>
            </w:r>
          </w:p>
        </w:tc>
        <w:tc>
          <w:tcPr>
            <w:tcW w:w="1194" w:type="dxa"/>
          </w:tcPr>
          <w:p w14:paraId="021AB167" w14:textId="77777777" w:rsidR="000A7E0D" w:rsidRPr="00203429" w:rsidRDefault="000A7E0D" w:rsidP="000A7E0D">
            <w:pPr>
              <w:jc w:val="center"/>
              <w:rPr>
                <w:b/>
                <w:sz w:val="20"/>
                <w:szCs w:val="20"/>
              </w:rPr>
            </w:pPr>
            <w:r w:rsidRPr="00203429">
              <w:rPr>
                <w:b/>
                <w:sz w:val="20"/>
                <w:szCs w:val="20"/>
              </w:rPr>
              <w:t>Saturday</w:t>
            </w:r>
          </w:p>
        </w:tc>
      </w:tr>
      <w:tr w:rsidR="001A714E" w:rsidRPr="00203429" w14:paraId="3A04F2AA" w14:textId="77777777" w:rsidTr="001A714E">
        <w:tc>
          <w:tcPr>
            <w:tcW w:w="2268" w:type="dxa"/>
          </w:tcPr>
          <w:p w14:paraId="0CBC2E5E" w14:textId="77777777" w:rsidR="000A7E0D" w:rsidRPr="00203429" w:rsidRDefault="000A7E0D" w:rsidP="000A7E0D">
            <w:pPr>
              <w:jc w:val="center"/>
              <w:rPr>
                <w:sz w:val="20"/>
                <w:szCs w:val="20"/>
              </w:rPr>
            </w:pPr>
          </w:p>
        </w:tc>
        <w:tc>
          <w:tcPr>
            <w:tcW w:w="1038" w:type="dxa"/>
          </w:tcPr>
          <w:p w14:paraId="2A4B8D56" w14:textId="77777777" w:rsidR="000A7E0D" w:rsidRPr="00203429" w:rsidRDefault="000A7E0D" w:rsidP="000A7E0D">
            <w:pPr>
              <w:jc w:val="center"/>
              <w:rPr>
                <w:b/>
                <w:sz w:val="20"/>
                <w:szCs w:val="20"/>
              </w:rPr>
            </w:pPr>
          </w:p>
        </w:tc>
        <w:tc>
          <w:tcPr>
            <w:tcW w:w="1135" w:type="dxa"/>
          </w:tcPr>
          <w:p w14:paraId="2F79F722" w14:textId="77777777" w:rsidR="000A7E0D" w:rsidRPr="00203429" w:rsidRDefault="000A7E0D" w:rsidP="000A7E0D">
            <w:pPr>
              <w:jc w:val="center"/>
              <w:rPr>
                <w:b/>
                <w:sz w:val="20"/>
                <w:szCs w:val="20"/>
              </w:rPr>
            </w:pPr>
            <w:r w:rsidRPr="00203429">
              <w:rPr>
                <w:b/>
                <w:sz w:val="20"/>
                <w:szCs w:val="20"/>
              </w:rPr>
              <w:t>Day 1</w:t>
            </w:r>
          </w:p>
        </w:tc>
        <w:tc>
          <w:tcPr>
            <w:tcW w:w="1139" w:type="dxa"/>
          </w:tcPr>
          <w:p w14:paraId="750A937D" w14:textId="77777777" w:rsidR="000A7E0D" w:rsidRPr="00203429" w:rsidRDefault="000A7E0D" w:rsidP="000A7E0D">
            <w:pPr>
              <w:jc w:val="center"/>
              <w:rPr>
                <w:b/>
                <w:sz w:val="20"/>
                <w:szCs w:val="20"/>
              </w:rPr>
            </w:pPr>
            <w:r w:rsidRPr="00203429">
              <w:rPr>
                <w:b/>
                <w:sz w:val="20"/>
                <w:szCs w:val="20"/>
              </w:rPr>
              <w:t>Day 2</w:t>
            </w:r>
          </w:p>
        </w:tc>
        <w:tc>
          <w:tcPr>
            <w:tcW w:w="1391" w:type="dxa"/>
          </w:tcPr>
          <w:p w14:paraId="31C90ED5" w14:textId="77777777" w:rsidR="000A7E0D" w:rsidRPr="00203429" w:rsidRDefault="000A7E0D" w:rsidP="000A7E0D">
            <w:pPr>
              <w:jc w:val="center"/>
              <w:rPr>
                <w:b/>
                <w:sz w:val="20"/>
                <w:szCs w:val="20"/>
              </w:rPr>
            </w:pPr>
            <w:r w:rsidRPr="00203429">
              <w:rPr>
                <w:b/>
                <w:sz w:val="20"/>
                <w:szCs w:val="20"/>
              </w:rPr>
              <w:t>Day 3</w:t>
            </w:r>
          </w:p>
        </w:tc>
        <w:tc>
          <w:tcPr>
            <w:tcW w:w="1238" w:type="dxa"/>
          </w:tcPr>
          <w:p w14:paraId="094AD4ED" w14:textId="77777777" w:rsidR="000A7E0D" w:rsidRPr="00203429" w:rsidRDefault="000A7E0D" w:rsidP="000A7E0D">
            <w:pPr>
              <w:jc w:val="center"/>
              <w:rPr>
                <w:b/>
                <w:sz w:val="20"/>
                <w:szCs w:val="20"/>
              </w:rPr>
            </w:pPr>
            <w:r w:rsidRPr="00203429">
              <w:rPr>
                <w:b/>
                <w:sz w:val="20"/>
                <w:szCs w:val="20"/>
              </w:rPr>
              <w:t>Day 4</w:t>
            </w:r>
          </w:p>
        </w:tc>
        <w:tc>
          <w:tcPr>
            <w:tcW w:w="1613" w:type="dxa"/>
            <w:gridSpan w:val="2"/>
          </w:tcPr>
          <w:p w14:paraId="16D74FE2" w14:textId="77777777" w:rsidR="000A7E0D" w:rsidRPr="00203429" w:rsidRDefault="000A7E0D" w:rsidP="000A7E0D">
            <w:pPr>
              <w:jc w:val="center"/>
              <w:rPr>
                <w:b/>
                <w:sz w:val="20"/>
                <w:szCs w:val="20"/>
              </w:rPr>
            </w:pPr>
            <w:r w:rsidRPr="00203429">
              <w:rPr>
                <w:b/>
                <w:sz w:val="20"/>
                <w:szCs w:val="20"/>
              </w:rPr>
              <w:t>Day 5</w:t>
            </w:r>
          </w:p>
        </w:tc>
        <w:tc>
          <w:tcPr>
            <w:tcW w:w="1194" w:type="dxa"/>
          </w:tcPr>
          <w:p w14:paraId="5D204507" w14:textId="77777777" w:rsidR="000A7E0D" w:rsidRPr="00203429" w:rsidRDefault="000A7E0D" w:rsidP="000A7E0D">
            <w:pPr>
              <w:jc w:val="center"/>
              <w:rPr>
                <w:b/>
                <w:sz w:val="20"/>
                <w:szCs w:val="20"/>
              </w:rPr>
            </w:pPr>
            <w:r w:rsidRPr="00203429">
              <w:rPr>
                <w:b/>
                <w:sz w:val="20"/>
                <w:szCs w:val="20"/>
              </w:rPr>
              <w:t>Day 6</w:t>
            </w:r>
          </w:p>
        </w:tc>
      </w:tr>
      <w:tr w:rsidR="001A714E" w:rsidRPr="00203429" w14:paraId="15357DE3" w14:textId="77777777" w:rsidTr="001A714E">
        <w:tc>
          <w:tcPr>
            <w:tcW w:w="2268" w:type="dxa"/>
          </w:tcPr>
          <w:p w14:paraId="6ADE246B" w14:textId="77777777" w:rsidR="000A7E0D" w:rsidRPr="00203429" w:rsidRDefault="000A7E0D" w:rsidP="000A7E0D">
            <w:pPr>
              <w:jc w:val="center"/>
              <w:rPr>
                <w:b/>
                <w:sz w:val="20"/>
                <w:szCs w:val="20"/>
              </w:rPr>
            </w:pPr>
            <w:r w:rsidRPr="00203429">
              <w:rPr>
                <w:b/>
                <w:sz w:val="20"/>
                <w:szCs w:val="20"/>
              </w:rPr>
              <w:t>Rapamycin  administration</w:t>
            </w:r>
          </w:p>
        </w:tc>
        <w:tc>
          <w:tcPr>
            <w:tcW w:w="1038" w:type="dxa"/>
          </w:tcPr>
          <w:p w14:paraId="672813B5" w14:textId="77777777" w:rsidR="000A7E0D" w:rsidRPr="00203429" w:rsidRDefault="000A7E0D" w:rsidP="000A7E0D">
            <w:pPr>
              <w:jc w:val="center"/>
              <w:rPr>
                <w:sz w:val="20"/>
                <w:szCs w:val="20"/>
              </w:rPr>
            </w:pPr>
          </w:p>
        </w:tc>
        <w:tc>
          <w:tcPr>
            <w:tcW w:w="1135" w:type="dxa"/>
          </w:tcPr>
          <w:p w14:paraId="0788E3E5" w14:textId="77777777" w:rsidR="000A7E0D" w:rsidRPr="00203429" w:rsidRDefault="000A7E0D" w:rsidP="000A7E0D">
            <w:pPr>
              <w:jc w:val="center"/>
              <w:rPr>
                <w:sz w:val="20"/>
                <w:szCs w:val="20"/>
              </w:rPr>
            </w:pPr>
            <w:r w:rsidRPr="00203429">
              <w:rPr>
                <w:sz w:val="20"/>
                <w:szCs w:val="20"/>
              </w:rPr>
              <w:t>X</w:t>
            </w:r>
          </w:p>
        </w:tc>
        <w:tc>
          <w:tcPr>
            <w:tcW w:w="1139" w:type="dxa"/>
          </w:tcPr>
          <w:p w14:paraId="299B7334" w14:textId="77777777" w:rsidR="000A7E0D" w:rsidRPr="00203429" w:rsidRDefault="000A7E0D" w:rsidP="000A7E0D">
            <w:pPr>
              <w:jc w:val="center"/>
              <w:rPr>
                <w:sz w:val="20"/>
                <w:szCs w:val="20"/>
              </w:rPr>
            </w:pPr>
            <w:r w:rsidRPr="00203429">
              <w:rPr>
                <w:sz w:val="20"/>
                <w:szCs w:val="20"/>
              </w:rPr>
              <w:t>X</w:t>
            </w:r>
          </w:p>
        </w:tc>
        <w:tc>
          <w:tcPr>
            <w:tcW w:w="1391" w:type="dxa"/>
          </w:tcPr>
          <w:p w14:paraId="4B9F4F68" w14:textId="77777777" w:rsidR="000A7E0D" w:rsidRPr="00203429" w:rsidRDefault="000A7E0D" w:rsidP="000A7E0D">
            <w:pPr>
              <w:jc w:val="center"/>
              <w:rPr>
                <w:sz w:val="20"/>
                <w:szCs w:val="20"/>
              </w:rPr>
            </w:pPr>
            <w:r w:rsidRPr="00203429">
              <w:rPr>
                <w:sz w:val="20"/>
                <w:szCs w:val="20"/>
              </w:rPr>
              <w:t>X</w:t>
            </w:r>
          </w:p>
        </w:tc>
        <w:tc>
          <w:tcPr>
            <w:tcW w:w="1238" w:type="dxa"/>
          </w:tcPr>
          <w:p w14:paraId="39B6277E" w14:textId="77777777" w:rsidR="000A7E0D" w:rsidRPr="00203429" w:rsidRDefault="000A7E0D" w:rsidP="000A7E0D">
            <w:pPr>
              <w:jc w:val="center"/>
              <w:rPr>
                <w:sz w:val="20"/>
                <w:szCs w:val="20"/>
              </w:rPr>
            </w:pPr>
            <w:r w:rsidRPr="00203429">
              <w:rPr>
                <w:sz w:val="20"/>
                <w:szCs w:val="20"/>
              </w:rPr>
              <w:t>X</w:t>
            </w:r>
          </w:p>
        </w:tc>
        <w:tc>
          <w:tcPr>
            <w:tcW w:w="1613" w:type="dxa"/>
            <w:gridSpan w:val="2"/>
          </w:tcPr>
          <w:p w14:paraId="1C15D708" w14:textId="77777777" w:rsidR="000A7E0D" w:rsidRPr="00203429" w:rsidRDefault="000A7E0D" w:rsidP="000A7E0D">
            <w:pPr>
              <w:jc w:val="center"/>
              <w:rPr>
                <w:sz w:val="20"/>
                <w:szCs w:val="20"/>
              </w:rPr>
            </w:pPr>
          </w:p>
        </w:tc>
        <w:tc>
          <w:tcPr>
            <w:tcW w:w="1194" w:type="dxa"/>
          </w:tcPr>
          <w:p w14:paraId="0CE7019C" w14:textId="77777777" w:rsidR="000A7E0D" w:rsidRPr="00203429" w:rsidRDefault="000A7E0D" w:rsidP="000A7E0D">
            <w:pPr>
              <w:jc w:val="center"/>
              <w:rPr>
                <w:sz w:val="20"/>
                <w:szCs w:val="20"/>
              </w:rPr>
            </w:pPr>
          </w:p>
        </w:tc>
      </w:tr>
      <w:tr w:rsidR="001A714E" w:rsidRPr="00203429" w14:paraId="4382ACCB" w14:textId="77777777" w:rsidTr="001A714E">
        <w:tc>
          <w:tcPr>
            <w:tcW w:w="2268" w:type="dxa"/>
          </w:tcPr>
          <w:p w14:paraId="402B3A7E" w14:textId="77777777" w:rsidR="000A7E0D" w:rsidRPr="00203429" w:rsidRDefault="000A7E0D" w:rsidP="000A7E0D">
            <w:pPr>
              <w:jc w:val="center"/>
              <w:rPr>
                <w:b/>
                <w:sz w:val="20"/>
                <w:szCs w:val="20"/>
              </w:rPr>
            </w:pPr>
          </w:p>
        </w:tc>
        <w:tc>
          <w:tcPr>
            <w:tcW w:w="1038" w:type="dxa"/>
          </w:tcPr>
          <w:p w14:paraId="556FC31F" w14:textId="77777777" w:rsidR="000A7E0D" w:rsidRPr="00203429" w:rsidRDefault="000A7E0D" w:rsidP="000A7E0D">
            <w:pPr>
              <w:jc w:val="center"/>
              <w:rPr>
                <w:b/>
                <w:sz w:val="20"/>
                <w:szCs w:val="20"/>
              </w:rPr>
            </w:pPr>
            <w:r w:rsidRPr="00203429">
              <w:rPr>
                <w:b/>
                <w:sz w:val="20"/>
                <w:szCs w:val="20"/>
              </w:rPr>
              <w:t>Day 7</w:t>
            </w:r>
          </w:p>
        </w:tc>
        <w:tc>
          <w:tcPr>
            <w:tcW w:w="1135" w:type="dxa"/>
          </w:tcPr>
          <w:p w14:paraId="3B9D63D0" w14:textId="77777777" w:rsidR="000A7E0D" w:rsidRPr="00203429" w:rsidRDefault="000A7E0D" w:rsidP="000A7E0D">
            <w:pPr>
              <w:jc w:val="center"/>
              <w:rPr>
                <w:b/>
                <w:sz w:val="20"/>
                <w:szCs w:val="20"/>
              </w:rPr>
            </w:pPr>
            <w:r w:rsidRPr="00203429">
              <w:rPr>
                <w:b/>
                <w:sz w:val="20"/>
                <w:szCs w:val="20"/>
              </w:rPr>
              <w:t>Day 8</w:t>
            </w:r>
          </w:p>
        </w:tc>
        <w:tc>
          <w:tcPr>
            <w:tcW w:w="1139" w:type="dxa"/>
          </w:tcPr>
          <w:p w14:paraId="200AFD74" w14:textId="77777777" w:rsidR="000A7E0D" w:rsidRPr="00203429" w:rsidRDefault="000A7E0D" w:rsidP="000A7E0D">
            <w:pPr>
              <w:jc w:val="center"/>
              <w:rPr>
                <w:b/>
                <w:sz w:val="20"/>
                <w:szCs w:val="20"/>
              </w:rPr>
            </w:pPr>
            <w:r w:rsidRPr="00203429">
              <w:rPr>
                <w:b/>
                <w:sz w:val="20"/>
                <w:szCs w:val="20"/>
              </w:rPr>
              <w:t>Day 9</w:t>
            </w:r>
          </w:p>
        </w:tc>
        <w:tc>
          <w:tcPr>
            <w:tcW w:w="1391" w:type="dxa"/>
          </w:tcPr>
          <w:p w14:paraId="60AA0B47" w14:textId="77777777" w:rsidR="000A7E0D" w:rsidRPr="00203429" w:rsidRDefault="000A7E0D" w:rsidP="000A7E0D">
            <w:pPr>
              <w:jc w:val="center"/>
              <w:rPr>
                <w:b/>
                <w:sz w:val="20"/>
                <w:szCs w:val="20"/>
              </w:rPr>
            </w:pPr>
            <w:r w:rsidRPr="00203429">
              <w:rPr>
                <w:b/>
                <w:sz w:val="20"/>
                <w:szCs w:val="20"/>
              </w:rPr>
              <w:t>Day 10</w:t>
            </w:r>
          </w:p>
        </w:tc>
        <w:tc>
          <w:tcPr>
            <w:tcW w:w="1238" w:type="dxa"/>
          </w:tcPr>
          <w:p w14:paraId="767F8F36" w14:textId="77777777" w:rsidR="000A7E0D" w:rsidRPr="00203429" w:rsidRDefault="000A7E0D" w:rsidP="000A7E0D">
            <w:pPr>
              <w:jc w:val="center"/>
              <w:rPr>
                <w:b/>
                <w:sz w:val="20"/>
                <w:szCs w:val="20"/>
              </w:rPr>
            </w:pPr>
            <w:r w:rsidRPr="00203429">
              <w:rPr>
                <w:b/>
                <w:sz w:val="20"/>
                <w:szCs w:val="20"/>
              </w:rPr>
              <w:t>Day 11</w:t>
            </w:r>
          </w:p>
        </w:tc>
        <w:tc>
          <w:tcPr>
            <w:tcW w:w="1613" w:type="dxa"/>
            <w:gridSpan w:val="2"/>
          </w:tcPr>
          <w:p w14:paraId="16A60474" w14:textId="77777777" w:rsidR="000A7E0D" w:rsidRPr="00203429" w:rsidRDefault="000A7E0D" w:rsidP="000A7E0D">
            <w:pPr>
              <w:jc w:val="center"/>
              <w:rPr>
                <w:b/>
                <w:sz w:val="20"/>
                <w:szCs w:val="20"/>
              </w:rPr>
            </w:pPr>
            <w:r w:rsidRPr="00203429">
              <w:rPr>
                <w:b/>
                <w:sz w:val="20"/>
                <w:szCs w:val="20"/>
              </w:rPr>
              <w:t>Day 12</w:t>
            </w:r>
          </w:p>
        </w:tc>
        <w:tc>
          <w:tcPr>
            <w:tcW w:w="1194" w:type="dxa"/>
          </w:tcPr>
          <w:p w14:paraId="7A05971A" w14:textId="77777777" w:rsidR="000A7E0D" w:rsidRPr="00203429" w:rsidRDefault="000A7E0D" w:rsidP="000A7E0D">
            <w:pPr>
              <w:jc w:val="center"/>
              <w:rPr>
                <w:b/>
                <w:sz w:val="20"/>
                <w:szCs w:val="20"/>
              </w:rPr>
            </w:pPr>
            <w:r w:rsidRPr="00203429">
              <w:rPr>
                <w:b/>
                <w:sz w:val="20"/>
                <w:szCs w:val="20"/>
              </w:rPr>
              <w:t>Day 13</w:t>
            </w:r>
          </w:p>
        </w:tc>
      </w:tr>
      <w:tr w:rsidR="001A714E" w:rsidRPr="00203429" w14:paraId="167A678C" w14:textId="77777777" w:rsidTr="001A714E">
        <w:tc>
          <w:tcPr>
            <w:tcW w:w="2268" w:type="dxa"/>
          </w:tcPr>
          <w:p w14:paraId="072BB467" w14:textId="77777777" w:rsidR="000A7E0D" w:rsidRPr="00203429" w:rsidRDefault="000A7E0D" w:rsidP="000A7E0D">
            <w:pPr>
              <w:jc w:val="center"/>
              <w:rPr>
                <w:b/>
                <w:sz w:val="20"/>
                <w:szCs w:val="20"/>
              </w:rPr>
            </w:pPr>
            <w:r w:rsidRPr="00203429">
              <w:rPr>
                <w:b/>
                <w:sz w:val="20"/>
                <w:szCs w:val="20"/>
              </w:rPr>
              <w:t>Rapamycin  administration</w:t>
            </w:r>
          </w:p>
        </w:tc>
        <w:tc>
          <w:tcPr>
            <w:tcW w:w="1038" w:type="dxa"/>
          </w:tcPr>
          <w:p w14:paraId="32B47FED" w14:textId="77777777" w:rsidR="000A7E0D" w:rsidRPr="00203429" w:rsidRDefault="000A7E0D" w:rsidP="000A7E0D">
            <w:pPr>
              <w:jc w:val="center"/>
              <w:rPr>
                <w:sz w:val="20"/>
                <w:szCs w:val="20"/>
              </w:rPr>
            </w:pPr>
          </w:p>
        </w:tc>
        <w:tc>
          <w:tcPr>
            <w:tcW w:w="1135" w:type="dxa"/>
          </w:tcPr>
          <w:p w14:paraId="519C7CE4" w14:textId="77777777" w:rsidR="000A7E0D" w:rsidRPr="00203429" w:rsidRDefault="000A7E0D" w:rsidP="000A7E0D">
            <w:pPr>
              <w:jc w:val="center"/>
              <w:rPr>
                <w:sz w:val="20"/>
                <w:szCs w:val="20"/>
              </w:rPr>
            </w:pPr>
            <w:r w:rsidRPr="00203429">
              <w:rPr>
                <w:sz w:val="20"/>
                <w:szCs w:val="20"/>
              </w:rPr>
              <w:t>X</w:t>
            </w:r>
          </w:p>
        </w:tc>
        <w:tc>
          <w:tcPr>
            <w:tcW w:w="1139" w:type="dxa"/>
          </w:tcPr>
          <w:p w14:paraId="7B700FD7" w14:textId="77777777" w:rsidR="000A7E0D" w:rsidRPr="00203429" w:rsidRDefault="000A7E0D" w:rsidP="000A7E0D">
            <w:pPr>
              <w:jc w:val="center"/>
              <w:rPr>
                <w:sz w:val="20"/>
                <w:szCs w:val="20"/>
              </w:rPr>
            </w:pPr>
            <w:r w:rsidRPr="00203429">
              <w:rPr>
                <w:sz w:val="20"/>
                <w:szCs w:val="20"/>
              </w:rPr>
              <w:t>X</w:t>
            </w:r>
          </w:p>
        </w:tc>
        <w:tc>
          <w:tcPr>
            <w:tcW w:w="1391" w:type="dxa"/>
          </w:tcPr>
          <w:p w14:paraId="151CA338" w14:textId="77777777" w:rsidR="000A7E0D" w:rsidRPr="00203429" w:rsidRDefault="000A7E0D" w:rsidP="000A7E0D">
            <w:pPr>
              <w:jc w:val="center"/>
              <w:rPr>
                <w:sz w:val="20"/>
                <w:szCs w:val="20"/>
              </w:rPr>
            </w:pPr>
            <w:r w:rsidRPr="00203429">
              <w:rPr>
                <w:sz w:val="20"/>
                <w:szCs w:val="20"/>
              </w:rPr>
              <w:t>X</w:t>
            </w:r>
          </w:p>
        </w:tc>
        <w:tc>
          <w:tcPr>
            <w:tcW w:w="1238" w:type="dxa"/>
          </w:tcPr>
          <w:p w14:paraId="06AE556B" w14:textId="77777777" w:rsidR="000A7E0D" w:rsidRPr="00203429" w:rsidRDefault="000A7E0D" w:rsidP="000A7E0D">
            <w:pPr>
              <w:jc w:val="center"/>
              <w:rPr>
                <w:sz w:val="20"/>
                <w:szCs w:val="20"/>
              </w:rPr>
            </w:pPr>
            <w:r w:rsidRPr="00203429">
              <w:rPr>
                <w:sz w:val="20"/>
                <w:szCs w:val="20"/>
              </w:rPr>
              <w:t>X</w:t>
            </w:r>
          </w:p>
        </w:tc>
        <w:tc>
          <w:tcPr>
            <w:tcW w:w="1613" w:type="dxa"/>
            <w:gridSpan w:val="2"/>
          </w:tcPr>
          <w:p w14:paraId="690F9494" w14:textId="77777777" w:rsidR="000A7E0D" w:rsidRPr="00203429" w:rsidRDefault="000A7E0D" w:rsidP="000A7E0D">
            <w:pPr>
              <w:jc w:val="center"/>
              <w:rPr>
                <w:sz w:val="20"/>
                <w:szCs w:val="20"/>
              </w:rPr>
            </w:pPr>
          </w:p>
        </w:tc>
        <w:tc>
          <w:tcPr>
            <w:tcW w:w="1194" w:type="dxa"/>
          </w:tcPr>
          <w:p w14:paraId="15C3E023" w14:textId="77777777" w:rsidR="000A7E0D" w:rsidRPr="00203429" w:rsidRDefault="000A7E0D" w:rsidP="000A7E0D">
            <w:pPr>
              <w:jc w:val="center"/>
              <w:rPr>
                <w:sz w:val="20"/>
                <w:szCs w:val="20"/>
              </w:rPr>
            </w:pPr>
          </w:p>
        </w:tc>
      </w:tr>
      <w:tr w:rsidR="001A714E" w:rsidRPr="00203429" w14:paraId="23F3326B" w14:textId="77777777" w:rsidTr="001A714E">
        <w:tc>
          <w:tcPr>
            <w:tcW w:w="2268" w:type="dxa"/>
          </w:tcPr>
          <w:p w14:paraId="2F9FFE88" w14:textId="77777777" w:rsidR="000A7E0D" w:rsidRPr="00203429" w:rsidRDefault="000A7E0D" w:rsidP="000A7E0D">
            <w:pPr>
              <w:jc w:val="center"/>
              <w:rPr>
                <w:b/>
                <w:sz w:val="20"/>
                <w:szCs w:val="20"/>
              </w:rPr>
            </w:pPr>
          </w:p>
        </w:tc>
        <w:tc>
          <w:tcPr>
            <w:tcW w:w="1038" w:type="dxa"/>
          </w:tcPr>
          <w:p w14:paraId="27F475B5" w14:textId="77777777" w:rsidR="000A7E0D" w:rsidRPr="00203429" w:rsidRDefault="000A7E0D" w:rsidP="000A7E0D">
            <w:pPr>
              <w:jc w:val="center"/>
              <w:rPr>
                <w:b/>
                <w:sz w:val="20"/>
                <w:szCs w:val="20"/>
              </w:rPr>
            </w:pPr>
            <w:r w:rsidRPr="00203429">
              <w:rPr>
                <w:b/>
                <w:sz w:val="20"/>
                <w:szCs w:val="20"/>
              </w:rPr>
              <w:t>Day 14</w:t>
            </w:r>
          </w:p>
        </w:tc>
        <w:tc>
          <w:tcPr>
            <w:tcW w:w="1135" w:type="dxa"/>
          </w:tcPr>
          <w:p w14:paraId="68547379" w14:textId="77777777" w:rsidR="000A7E0D" w:rsidRPr="00203429" w:rsidRDefault="000A7E0D" w:rsidP="000A7E0D">
            <w:pPr>
              <w:jc w:val="center"/>
              <w:rPr>
                <w:b/>
                <w:sz w:val="20"/>
                <w:szCs w:val="20"/>
              </w:rPr>
            </w:pPr>
            <w:r w:rsidRPr="00203429">
              <w:rPr>
                <w:b/>
                <w:sz w:val="20"/>
                <w:szCs w:val="20"/>
              </w:rPr>
              <w:t>Day 15</w:t>
            </w:r>
          </w:p>
        </w:tc>
        <w:tc>
          <w:tcPr>
            <w:tcW w:w="1139" w:type="dxa"/>
          </w:tcPr>
          <w:p w14:paraId="0ADED72E" w14:textId="77777777" w:rsidR="000A7E0D" w:rsidRPr="00203429" w:rsidRDefault="000A7E0D" w:rsidP="000A7E0D">
            <w:pPr>
              <w:jc w:val="center"/>
              <w:rPr>
                <w:b/>
                <w:sz w:val="20"/>
                <w:szCs w:val="20"/>
              </w:rPr>
            </w:pPr>
            <w:r w:rsidRPr="00203429">
              <w:rPr>
                <w:b/>
                <w:sz w:val="20"/>
                <w:szCs w:val="20"/>
              </w:rPr>
              <w:t>Day 16</w:t>
            </w:r>
          </w:p>
        </w:tc>
        <w:tc>
          <w:tcPr>
            <w:tcW w:w="1391" w:type="dxa"/>
          </w:tcPr>
          <w:p w14:paraId="21F1BA9B" w14:textId="77777777" w:rsidR="000A7E0D" w:rsidRPr="00203429" w:rsidRDefault="000A7E0D" w:rsidP="000A7E0D">
            <w:pPr>
              <w:jc w:val="center"/>
              <w:rPr>
                <w:b/>
                <w:sz w:val="20"/>
                <w:szCs w:val="20"/>
              </w:rPr>
            </w:pPr>
            <w:r w:rsidRPr="00203429">
              <w:rPr>
                <w:b/>
                <w:sz w:val="20"/>
                <w:szCs w:val="20"/>
              </w:rPr>
              <w:t>Day 17</w:t>
            </w:r>
          </w:p>
        </w:tc>
        <w:tc>
          <w:tcPr>
            <w:tcW w:w="1238" w:type="dxa"/>
          </w:tcPr>
          <w:p w14:paraId="51909D4E" w14:textId="77777777" w:rsidR="000A7E0D" w:rsidRPr="00203429" w:rsidRDefault="000A7E0D" w:rsidP="000A7E0D">
            <w:pPr>
              <w:jc w:val="center"/>
              <w:rPr>
                <w:b/>
                <w:sz w:val="20"/>
                <w:szCs w:val="20"/>
              </w:rPr>
            </w:pPr>
            <w:r w:rsidRPr="00203429">
              <w:rPr>
                <w:b/>
                <w:sz w:val="20"/>
                <w:szCs w:val="20"/>
              </w:rPr>
              <w:t>Day 18</w:t>
            </w:r>
          </w:p>
        </w:tc>
        <w:tc>
          <w:tcPr>
            <w:tcW w:w="1613" w:type="dxa"/>
            <w:gridSpan w:val="2"/>
          </w:tcPr>
          <w:p w14:paraId="33EFA0BD" w14:textId="77777777" w:rsidR="000A7E0D" w:rsidRPr="00203429" w:rsidRDefault="000A7E0D" w:rsidP="000A7E0D">
            <w:pPr>
              <w:jc w:val="center"/>
              <w:rPr>
                <w:b/>
                <w:sz w:val="20"/>
                <w:szCs w:val="20"/>
              </w:rPr>
            </w:pPr>
            <w:r w:rsidRPr="00203429">
              <w:rPr>
                <w:b/>
                <w:sz w:val="20"/>
                <w:szCs w:val="20"/>
              </w:rPr>
              <w:t>Day 19</w:t>
            </w:r>
          </w:p>
        </w:tc>
        <w:tc>
          <w:tcPr>
            <w:tcW w:w="1194" w:type="dxa"/>
          </w:tcPr>
          <w:p w14:paraId="0AF63F9D" w14:textId="77777777" w:rsidR="000A7E0D" w:rsidRPr="00203429" w:rsidRDefault="000A7E0D" w:rsidP="000A7E0D">
            <w:pPr>
              <w:jc w:val="center"/>
              <w:rPr>
                <w:b/>
                <w:sz w:val="20"/>
                <w:szCs w:val="20"/>
              </w:rPr>
            </w:pPr>
            <w:r w:rsidRPr="00203429">
              <w:rPr>
                <w:b/>
                <w:sz w:val="20"/>
                <w:szCs w:val="20"/>
              </w:rPr>
              <w:t>Day 20</w:t>
            </w:r>
          </w:p>
        </w:tc>
      </w:tr>
      <w:tr w:rsidR="001A714E" w:rsidRPr="00203429" w14:paraId="3BC65E48" w14:textId="77777777" w:rsidTr="001A714E">
        <w:tc>
          <w:tcPr>
            <w:tcW w:w="2268" w:type="dxa"/>
          </w:tcPr>
          <w:p w14:paraId="43E1F82E" w14:textId="77777777" w:rsidR="000A7E0D" w:rsidRPr="00203429" w:rsidRDefault="000A7E0D" w:rsidP="000A7E0D">
            <w:pPr>
              <w:jc w:val="center"/>
              <w:rPr>
                <w:b/>
                <w:sz w:val="20"/>
                <w:szCs w:val="20"/>
              </w:rPr>
            </w:pPr>
            <w:r w:rsidRPr="00203429">
              <w:rPr>
                <w:b/>
                <w:sz w:val="20"/>
                <w:szCs w:val="20"/>
              </w:rPr>
              <w:t>Rapamycin  administration</w:t>
            </w:r>
          </w:p>
        </w:tc>
        <w:tc>
          <w:tcPr>
            <w:tcW w:w="1038" w:type="dxa"/>
          </w:tcPr>
          <w:p w14:paraId="4EFAD739" w14:textId="77777777" w:rsidR="000A7E0D" w:rsidRPr="00203429" w:rsidRDefault="000A7E0D" w:rsidP="000A7E0D">
            <w:pPr>
              <w:jc w:val="center"/>
              <w:rPr>
                <w:sz w:val="20"/>
                <w:szCs w:val="20"/>
              </w:rPr>
            </w:pPr>
          </w:p>
        </w:tc>
        <w:tc>
          <w:tcPr>
            <w:tcW w:w="1135" w:type="dxa"/>
          </w:tcPr>
          <w:p w14:paraId="081F8FBC" w14:textId="77777777" w:rsidR="000A7E0D" w:rsidRPr="00203429" w:rsidRDefault="000A7E0D" w:rsidP="000A7E0D">
            <w:pPr>
              <w:jc w:val="center"/>
              <w:rPr>
                <w:sz w:val="20"/>
                <w:szCs w:val="20"/>
              </w:rPr>
            </w:pPr>
            <w:r w:rsidRPr="00203429">
              <w:rPr>
                <w:sz w:val="20"/>
                <w:szCs w:val="20"/>
              </w:rPr>
              <w:t>X</w:t>
            </w:r>
          </w:p>
        </w:tc>
        <w:tc>
          <w:tcPr>
            <w:tcW w:w="1139" w:type="dxa"/>
          </w:tcPr>
          <w:p w14:paraId="3DD9D399" w14:textId="77777777" w:rsidR="000A7E0D" w:rsidRPr="00203429" w:rsidRDefault="000A7E0D" w:rsidP="000A7E0D">
            <w:pPr>
              <w:jc w:val="center"/>
              <w:rPr>
                <w:sz w:val="20"/>
                <w:szCs w:val="20"/>
              </w:rPr>
            </w:pPr>
            <w:r w:rsidRPr="00203429">
              <w:rPr>
                <w:sz w:val="20"/>
                <w:szCs w:val="20"/>
              </w:rPr>
              <w:t>X</w:t>
            </w:r>
          </w:p>
        </w:tc>
        <w:tc>
          <w:tcPr>
            <w:tcW w:w="1391" w:type="dxa"/>
          </w:tcPr>
          <w:p w14:paraId="6897662D" w14:textId="77777777" w:rsidR="000A7E0D" w:rsidRPr="00203429" w:rsidRDefault="000A7E0D" w:rsidP="000A7E0D">
            <w:pPr>
              <w:jc w:val="center"/>
              <w:rPr>
                <w:sz w:val="20"/>
                <w:szCs w:val="20"/>
              </w:rPr>
            </w:pPr>
            <w:r w:rsidRPr="00203429">
              <w:rPr>
                <w:sz w:val="20"/>
                <w:szCs w:val="20"/>
              </w:rPr>
              <w:t>X</w:t>
            </w:r>
          </w:p>
        </w:tc>
        <w:tc>
          <w:tcPr>
            <w:tcW w:w="1238" w:type="dxa"/>
          </w:tcPr>
          <w:p w14:paraId="1337C523" w14:textId="77777777" w:rsidR="000A7E0D" w:rsidRPr="00203429" w:rsidRDefault="000A7E0D" w:rsidP="000A7E0D">
            <w:pPr>
              <w:jc w:val="center"/>
              <w:rPr>
                <w:sz w:val="20"/>
                <w:szCs w:val="20"/>
              </w:rPr>
            </w:pPr>
            <w:r w:rsidRPr="00203429">
              <w:rPr>
                <w:sz w:val="20"/>
                <w:szCs w:val="20"/>
              </w:rPr>
              <w:t>X</w:t>
            </w:r>
          </w:p>
        </w:tc>
        <w:tc>
          <w:tcPr>
            <w:tcW w:w="1613" w:type="dxa"/>
            <w:gridSpan w:val="2"/>
          </w:tcPr>
          <w:p w14:paraId="5D927BB2" w14:textId="77777777" w:rsidR="000A7E0D" w:rsidRPr="00203429" w:rsidRDefault="000A7E0D" w:rsidP="000A7E0D">
            <w:pPr>
              <w:jc w:val="center"/>
              <w:rPr>
                <w:sz w:val="20"/>
                <w:szCs w:val="20"/>
              </w:rPr>
            </w:pPr>
          </w:p>
        </w:tc>
        <w:tc>
          <w:tcPr>
            <w:tcW w:w="1194" w:type="dxa"/>
          </w:tcPr>
          <w:p w14:paraId="57A04D67" w14:textId="77777777" w:rsidR="000A7E0D" w:rsidRPr="00203429" w:rsidRDefault="000A7E0D" w:rsidP="000A7E0D">
            <w:pPr>
              <w:jc w:val="center"/>
              <w:rPr>
                <w:sz w:val="20"/>
                <w:szCs w:val="20"/>
              </w:rPr>
            </w:pPr>
          </w:p>
        </w:tc>
      </w:tr>
      <w:tr w:rsidR="001A714E" w:rsidRPr="00203429" w14:paraId="4C1BBEED" w14:textId="77777777" w:rsidTr="001A714E">
        <w:tc>
          <w:tcPr>
            <w:tcW w:w="2268" w:type="dxa"/>
          </w:tcPr>
          <w:p w14:paraId="441BBF48" w14:textId="77777777" w:rsidR="000A7E0D" w:rsidRPr="00203429" w:rsidRDefault="000A7E0D" w:rsidP="000A7E0D">
            <w:pPr>
              <w:jc w:val="center"/>
              <w:rPr>
                <w:b/>
                <w:sz w:val="20"/>
                <w:szCs w:val="20"/>
              </w:rPr>
            </w:pPr>
          </w:p>
        </w:tc>
        <w:tc>
          <w:tcPr>
            <w:tcW w:w="1038" w:type="dxa"/>
          </w:tcPr>
          <w:p w14:paraId="7785FFCD" w14:textId="77777777" w:rsidR="000A7E0D" w:rsidRPr="00203429" w:rsidRDefault="000A7E0D" w:rsidP="000A7E0D">
            <w:pPr>
              <w:jc w:val="center"/>
              <w:rPr>
                <w:b/>
                <w:sz w:val="20"/>
                <w:szCs w:val="20"/>
              </w:rPr>
            </w:pPr>
            <w:r w:rsidRPr="00203429">
              <w:rPr>
                <w:b/>
                <w:sz w:val="20"/>
                <w:szCs w:val="20"/>
              </w:rPr>
              <w:t>Day 21</w:t>
            </w:r>
          </w:p>
        </w:tc>
        <w:tc>
          <w:tcPr>
            <w:tcW w:w="1135" w:type="dxa"/>
          </w:tcPr>
          <w:p w14:paraId="6AB342B9" w14:textId="77777777" w:rsidR="000A7E0D" w:rsidRPr="00203429" w:rsidRDefault="000A7E0D" w:rsidP="000A7E0D">
            <w:pPr>
              <w:jc w:val="center"/>
              <w:rPr>
                <w:b/>
                <w:sz w:val="20"/>
                <w:szCs w:val="20"/>
              </w:rPr>
            </w:pPr>
            <w:r w:rsidRPr="00203429">
              <w:rPr>
                <w:b/>
                <w:sz w:val="20"/>
                <w:szCs w:val="20"/>
              </w:rPr>
              <w:t>Day 22</w:t>
            </w:r>
          </w:p>
        </w:tc>
        <w:tc>
          <w:tcPr>
            <w:tcW w:w="1139" w:type="dxa"/>
          </w:tcPr>
          <w:p w14:paraId="7A1398BB" w14:textId="77777777" w:rsidR="000A7E0D" w:rsidRPr="00203429" w:rsidRDefault="000A7E0D" w:rsidP="000A7E0D">
            <w:pPr>
              <w:jc w:val="center"/>
              <w:rPr>
                <w:b/>
                <w:sz w:val="20"/>
                <w:szCs w:val="20"/>
              </w:rPr>
            </w:pPr>
            <w:r w:rsidRPr="00203429">
              <w:rPr>
                <w:b/>
                <w:sz w:val="20"/>
                <w:szCs w:val="20"/>
              </w:rPr>
              <w:t>Day 23</w:t>
            </w:r>
          </w:p>
        </w:tc>
        <w:tc>
          <w:tcPr>
            <w:tcW w:w="1391" w:type="dxa"/>
          </w:tcPr>
          <w:p w14:paraId="5CD742DB" w14:textId="77777777" w:rsidR="000A7E0D" w:rsidRPr="00203429" w:rsidRDefault="000A7E0D" w:rsidP="000A7E0D">
            <w:pPr>
              <w:jc w:val="center"/>
              <w:rPr>
                <w:b/>
                <w:sz w:val="20"/>
                <w:szCs w:val="20"/>
              </w:rPr>
            </w:pPr>
            <w:r w:rsidRPr="00203429">
              <w:rPr>
                <w:b/>
                <w:sz w:val="20"/>
                <w:szCs w:val="20"/>
              </w:rPr>
              <w:t>Day 24</w:t>
            </w:r>
          </w:p>
        </w:tc>
        <w:tc>
          <w:tcPr>
            <w:tcW w:w="1238" w:type="dxa"/>
          </w:tcPr>
          <w:p w14:paraId="492CAE64" w14:textId="77777777" w:rsidR="000A7E0D" w:rsidRPr="00203429" w:rsidRDefault="000A7E0D" w:rsidP="000A7E0D">
            <w:pPr>
              <w:jc w:val="center"/>
              <w:rPr>
                <w:b/>
                <w:sz w:val="20"/>
                <w:szCs w:val="20"/>
              </w:rPr>
            </w:pPr>
            <w:r w:rsidRPr="00203429">
              <w:rPr>
                <w:b/>
                <w:sz w:val="20"/>
                <w:szCs w:val="20"/>
              </w:rPr>
              <w:t>Day 25</w:t>
            </w:r>
          </w:p>
        </w:tc>
        <w:tc>
          <w:tcPr>
            <w:tcW w:w="1613" w:type="dxa"/>
            <w:gridSpan w:val="2"/>
          </w:tcPr>
          <w:p w14:paraId="522AFC35" w14:textId="77777777" w:rsidR="000A7E0D" w:rsidRPr="00203429" w:rsidRDefault="000A7E0D" w:rsidP="000A7E0D">
            <w:pPr>
              <w:jc w:val="center"/>
              <w:rPr>
                <w:b/>
                <w:sz w:val="20"/>
                <w:szCs w:val="20"/>
              </w:rPr>
            </w:pPr>
            <w:r w:rsidRPr="00203429">
              <w:rPr>
                <w:b/>
                <w:sz w:val="20"/>
                <w:szCs w:val="20"/>
              </w:rPr>
              <w:t>Day 26</w:t>
            </w:r>
          </w:p>
        </w:tc>
        <w:tc>
          <w:tcPr>
            <w:tcW w:w="1194" w:type="dxa"/>
          </w:tcPr>
          <w:p w14:paraId="561A5AD7" w14:textId="77777777" w:rsidR="000A7E0D" w:rsidRPr="00203429" w:rsidRDefault="000A7E0D" w:rsidP="000A7E0D">
            <w:pPr>
              <w:jc w:val="center"/>
              <w:rPr>
                <w:b/>
                <w:sz w:val="20"/>
                <w:szCs w:val="20"/>
              </w:rPr>
            </w:pPr>
            <w:r w:rsidRPr="00203429">
              <w:rPr>
                <w:b/>
                <w:sz w:val="20"/>
                <w:szCs w:val="20"/>
              </w:rPr>
              <w:t>Day 27</w:t>
            </w:r>
          </w:p>
        </w:tc>
      </w:tr>
      <w:tr w:rsidR="001A714E" w:rsidRPr="00203429" w14:paraId="34642DFD" w14:textId="77777777" w:rsidTr="001A714E">
        <w:tc>
          <w:tcPr>
            <w:tcW w:w="2268" w:type="dxa"/>
          </w:tcPr>
          <w:p w14:paraId="5F785540" w14:textId="77777777" w:rsidR="000A7E0D" w:rsidRPr="00203429" w:rsidRDefault="000A7E0D" w:rsidP="000A7E0D">
            <w:pPr>
              <w:jc w:val="center"/>
              <w:rPr>
                <w:b/>
                <w:sz w:val="20"/>
                <w:szCs w:val="20"/>
              </w:rPr>
            </w:pPr>
            <w:r w:rsidRPr="00203429">
              <w:rPr>
                <w:b/>
                <w:sz w:val="20"/>
                <w:szCs w:val="20"/>
              </w:rPr>
              <w:t>Rapamycin  administration</w:t>
            </w:r>
          </w:p>
        </w:tc>
        <w:tc>
          <w:tcPr>
            <w:tcW w:w="1038" w:type="dxa"/>
          </w:tcPr>
          <w:p w14:paraId="266B5936" w14:textId="77777777" w:rsidR="000A7E0D" w:rsidRPr="00203429" w:rsidRDefault="000A7E0D" w:rsidP="000A7E0D">
            <w:pPr>
              <w:jc w:val="center"/>
              <w:rPr>
                <w:sz w:val="20"/>
                <w:szCs w:val="20"/>
              </w:rPr>
            </w:pPr>
          </w:p>
        </w:tc>
        <w:tc>
          <w:tcPr>
            <w:tcW w:w="1135" w:type="dxa"/>
          </w:tcPr>
          <w:p w14:paraId="7F4A21BD" w14:textId="77777777" w:rsidR="000A7E0D" w:rsidRPr="00203429" w:rsidRDefault="000A7E0D" w:rsidP="000A7E0D">
            <w:pPr>
              <w:jc w:val="center"/>
              <w:rPr>
                <w:sz w:val="20"/>
                <w:szCs w:val="20"/>
              </w:rPr>
            </w:pPr>
            <w:r w:rsidRPr="00203429">
              <w:rPr>
                <w:sz w:val="20"/>
                <w:szCs w:val="20"/>
              </w:rPr>
              <w:t>X</w:t>
            </w:r>
          </w:p>
        </w:tc>
        <w:tc>
          <w:tcPr>
            <w:tcW w:w="1139" w:type="dxa"/>
          </w:tcPr>
          <w:p w14:paraId="59FD478B" w14:textId="77777777" w:rsidR="000A7E0D" w:rsidRPr="00203429" w:rsidRDefault="000A7E0D" w:rsidP="000A7E0D">
            <w:pPr>
              <w:jc w:val="center"/>
              <w:rPr>
                <w:sz w:val="20"/>
                <w:szCs w:val="20"/>
              </w:rPr>
            </w:pPr>
            <w:r w:rsidRPr="00203429">
              <w:rPr>
                <w:sz w:val="20"/>
                <w:szCs w:val="20"/>
              </w:rPr>
              <w:t>X</w:t>
            </w:r>
          </w:p>
        </w:tc>
        <w:tc>
          <w:tcPr>
            <w:tcW w:w="1391" w:type="dxa"/>
          </w:tcPr>
          <w:p w14:paraId="64AE914F" w14:textId="77777777" w:rsidR="000A7E0D" w:rsidRPr="00203429" w:rsidRDefault="000A7E0D" w:rsidP="000A7E0D">
            <w:pPr>
              <w:jc w:val="center"/>
              <w:rPr>
                <w:sz w:val="20"/>
                <w:szCs w:val="20"/>
              </w:rPr>
            </w:pPr>
            <w:r w:rsidRPr="00203429">
              <w:rPr>
                <w:sz w:val="20"/>
                <w:szCs w:val="20"/>
              </w:rPr>
              <w:t>X</w:t>
            </w:r>
          </w:p>
        </w:tc>
        <w:tc>
          <w:tcPr>
            <w:tcW w:w="1238" w:type="dxa"/>
          </w:tcPr>
          <w:p w14:paraId="18098088" w14:textId="77777777" w:rsidR="000A7E0D" w:rsidRPr="00203429" w:rsidRDefault="000A7E0D" w:rsidP="000A7E0D">
            <w:pPr>
              <w:jc w:val="center"/>
              <w:rPr>
                <w:sz w:val="20"/>
                <w:szCs w:val="20"/>
              </w:rPr>
            </w:pPr>
            <w:r w:rsidRPr="00203429">
              <w:rPr>
                <w:sz w:val="20"/>
                <w:szCs w:val="20"/>
              </w:rPr>
              <w:t>X</w:t>
            </w:r>
          </w:p>
        </w:tc>
        <w:tc>
          <w:tcPr>
            <w:tcW w:w="1613" w:type="dxa"/>
            <w:gridSpan w:val="2"/>
          </w:tcPr>
          <w:p w14:paraId="3F94AC69" w14:textId="77777777" w:rsidR="000A7E0D" w:rsidRPr="00203429" w:rsidRDefault="000A7E0D" w:rsidP="000A7E0D">
            <w:pPr>
              <w:jc w:val="center"/>
              <w:rPr>
                <w:sz w:val="20"/>
                <w:szCs w:val="20"/>
              </w:rPr>
            </w:pPr>
          </w:p>
        </w:tc>
        <w:tc>
          <w:tcPr>
            <w:tcW w:w="1194" w:type="dxa"/>
          </w:tcPr>
          <w:p w14:paraId="45A70B2A" w14:textId="77777777" w:rsidR="000A7E0D" w:rsidRPr="00203429" w:rsidRDefault="000A7E0D" w:rsidP="000A7E0D">
            <w:pPr>
              <w:jc w:val="center"/>
              <w:rPr>
                <w:sz w:val="20"/>
                <w:szCs w:val="20"/>
              </w:rPr>
            </w:pPr>
          </w:p>
        </w:tc>
      </w:tr>
      <w:tr w:rsidR="001A714E" w:rsidRPr="00203429" w14:paraId="77AE7458" w14:textId="77777777" w:rsidTr="001A714E">
        <w:tc>
          <w:tcPr>
            <w:tcW w:w="2268" w:type="dxa"/>
          </w:tcPr>
          <w:p w14:paraId="024513B0" w14:textId="77777777" w:rsidR="000A7E0D" w:rsidRPr="00203429" w:rsidRDefault="000A7E0D" w:rsidP="000A7E0D">
            <w:pPr>
              <w:rPr>
                <w:b/>
                <w:sz w:val="20"/>
                <w:szCs w:val="20"/>
              </w:rPr>
            </w:pPr>
            <w:r w:rsidRPr="00203429">
              <w:rPr>
                <w:b/>
                <w:sz w:val="20"/>
                <w:szCs w:val="20"/>
              </w:rPr>
              <w:t>PK collection</w:t>
            </w:r>
          </w:p>
        </w:tc>
        <w:tc>
          <w:tcPr>
            <w:tcW w:w="1038" w:type="dxa"/>
          </w:tcPr>
          <w:p w14:paraId="2F10F312" w14:textId="77777777" w:rsidR="000A7E0D" w:rsidRPr="00203429" w:rsidRDefault="000A7E0D" w:rsidP="000A7E0D">
            <w:pPr>
              <w:rPr>
                <w:sz w:val="20"/>
                <w:szCs w:val="20"/>
              </w:rPr>
            </w:pPr>
          </w:p>
        </w:tc>
        <w:tc>
          <w:tcPr>
            <w:tcW w:w="1135" w:type="dxa"/>
          </w:tcPr>
          <w:p w14:paraId="3849D2DB" w14:textId="77777777" w:rsidR="000A7E0D" w:rsidRPr="00203429" w:rsidRDefault="000A7E0D" w:rsidP="000A7E0D">
            <w:pPr>
              <w:rPr>
                <w:sz w:val="20"/>
                <w:szCs w:val="20"/>
              </w:rPr>
            </w:pPr>
          </w:p>
        </w:tc>
        <w:tc>
          <w:tcPr>
            <w:tcW w:w="1139" w:type="dxa"/>
          </w:tcPr>
          <w:p w14:paraId="032AF9D3" w14:textId="77777777" w:rsidR="000A7E0D" w:rsidRPr="00203429" w:rsidRDefault="000A7E0D" w:rsidP="000A7E0D">
            <w:pPr>
              <w:rPr>
                <w:sz w:val="20"/>
                <w:szCs w:val="20"/>
              </w:rPr>
            </w:pPr>
          </w:p>
        </w:tc>
        <w:tc>
          <w:tcPr>
            <w:tcW w:w="1391" w:type="dxa"/>
          </w:tcPr>
          <w:p w14:paraId="22BEB419" w14:textId="77777777" w:rsidR="000A7E0D" w:rsidRPr="00203429" w:rsidRDefault="000A7E0D" w:rsidP="000A7E0D">
            <w:pPr>
              <w:rPr>
                <w:sz w:val="20"/>
                <w:szCs w:val="20"/>
              </w:rPr>
            </w:pPr>
          </w:p>
        </w:tc>
        <w:tc>
          <w:tcPr>
            <w:tcW w:w="2851" w:type="dxa"/>
            <w:gridSpan w:val="3"/>
          </w:tcPr>
          <w:p w14:paraId="090FEF84" w14:textId="77777777" w:rsidR="000A7E0D" w:rsidRPr="00203429" w:rsidRDefault="000A7E0D" w:rsidP="000A7E0D">
            <w:pPr>
              <w:jc w:val="center"/>
              <w:rPr>
                <w:sz w:val="20"/>
                <w:szCs w:val="20"/>
              </w:rPr>
            </w:pPr>
            <w:r w:rsidRPr="00203429">
              <w:rPr>
                <w:sz w:val="20"/>
                <w:szCs w:val="20"/>
              </w:rPr>
              <w:t>multipoint 24 hr.</w:t>
            </w:r>
          </w:p>
          <w:p w14:paraId="4364498F" w14:textId="584B03EB" w:rsidR="000A7E0D" w:rsidRPr="00203429" w:rsidRDefault="000A7E0D" w:rsidP="000A7E0D">
            <w:pPr>
              <w:jc w:val="center"/>
              <w:rPr>
                <w:sz w:val="20"/>
                <w:szCs w:val="20"/>
              </w:rPr>
            </w:pPr>
            <w:r w:rsidRPr="00203429">
              <w:rPr>
                <w:sz w:val="20"/>
                <w:szCs w:val="20"/>
              </w:rPr>
              <w:t>PK curve</w:t>
            </w:r>
            <w:r w:rsidR="006701A5" w:rsidRPr="00203429">
              <w:rPr>
                <w:sz w:val="20"/>
                <w:szCs w:val="20"/>
                <w:vertAlign w:val="superscript"/>
              </w:rPr>
              <w:t>1</w:t>
            </w:r>
          </w:p>
        </w:tc>
        <w:tc>
          <w:tcPr>
            <w:tcW w:w="1194" w:type="dxa"/>
          </w:tcPr>
          <w:p w14:paraId="7966CC09" w14:textId="77777777" w:rsidR="000A7E0D" w:rsidRPr="00203429" w:rsidRDefault="000A7E0D" w:rsidP="000A7E0D">
            <w:pPr>
              <w:rPr>
                <w:sz w:val="20"/>
                <w:szCs w:val="20"/>
              </w:rPr>
            </w:pPr>
          </w:p>
        </w:tc>
      </w:tr>
      <w:tr w:rsidR="001A714E" w:rsidRPr="00203429" w14:paraId="7843FAB3" w14:textId="77777777" w:rsidTr="001A714E">
        <w:tc>
          <w:tcPr>
            <w:tcW w:w="2268" w:type="dxa"/>
          </w:tcPr>
          <w:p w14:paraId="6BE67045" w14:textId="698B5155" w:rsidR="001A714E" w:rsidRDefault="001A714E" w:rsidP="000A7E0D">
            <w:pPr>
              <w:rPr>
                <w:b/>
                <w:sz w:val="20"/>
                <w:szCs w:val="20"/>
              </w:rPr>
            </w:pPr>
            <w:r>
              <w:rPr>
                <w:b/>
                <w:sz w:val="20"/>
                <w:szCs w:val="20"/>
              </w:rPr>
              <w:t>PE&amp;</w:t>
            </w:r>
            <w:r w:rsidR="000A7E0D" w:rsidRPr="00203429">
              <w:rPr>
                <w:b/>
                <w:sz w:val="20"/>
                <w:szCs w:val="20"/>
              </w:rPr>
              <w:t>labwork</w:t>
            </w:r>
            <w:r w:rsidRPr="001A714E">
              <w:rPr>
                <w:b/>
                <w:sz w:val="20"/>
                <w:szCs w:val="20"/>
                <w:vertAlign w:val="superscript"/>
              </w:rPr>
              <w:t>1</w:t>
            </w:r>
          </w:p>
          <w:p w14:paraId="7AB25691" w14:textId="315A2006" w:rsidR="000A7E0D" w:rsidRPr="00203429" w:rsidRDefault="001A714E" w:rsidP="000A7E0D">
            <w:pPr>
              <w:rPr>
                <w:b/>
                <w:sz w:val="20"/>
                <w:szCs w:val="20"/>
              </w:rPr>
            </w:pPr>
            <w:r>
              <w:rPr>
                <w:b/>
                <w:sz w:val="20"/>
                <w:szCs w:val="20"/>
              </w:rPr>
              <w:t>R</w:t>
            </w:r>
            <w:r w:rsidR="00826D24">
              <w:rPr>
                <w:b/>
                <w:sz w:val="20"/>
                <w:szCs w:val="20"/>
              </w:rPr>
              <w:t>adiographs</w:t>
            </w:r>
            <w:r w:rsidR="00444ACE" w:rsidRPr="00444ACE">
              <w:rPr>
                <w:b/>
                <w:sz w:val="20"/>
                <w:szCs w:val="20"/>
                <w:vertAlign w:val="superscript"/>
              </w:rPr>
              <w:t>2</w:t>
            </w:r>
          </w:p>
        </w:tc>
        <w:tc>
          <w:tcPr>
            <w:tcW w:w="1038" w:type="dxa"/>
          </w:tcPr>
          <w:p w14:paraId="26AFE998" w14:textId="77777777" w:rsidR="000A7E0D" w:rsidRPr="00203429" w:rsidRDefault="000A7E0D" w:rsidP="000A7E0D">
            <w:pPr>
              <w:rPr>
                <w:sz w:val="20"/>
                <w:szCs w:val="20"/>
              </w:rPr>
            </w:pPr>
          </w:p>
        </w:tc>
        <w:tc>
          <w:tcPr>
            <w:tcW w:w="1135" w:type="dxa"/>
          </w:tcPr>
          <w:p w14:paraId="45A13BDE" w14:textId="77777777" w:rsidR="000A7E0D" w:rsidRPr="00203429" w:rsidRDefault="000A7E0D" w:rsidP="000A7E0D">
            <w:pPr>
              <w:rPr>
                <w:sz w:val="20"/>
                <w:szCs w:val="20"/>
              </w:rPr>
            </w:pPr>
          </w:p>
        </w:tc>
        <w:tc>
          <w:tcPr>
            <w:tcW w:w="1139" w:type="dxa"/>
          </w:tcPr>
          <w:p w14:paraId="558290B5" w14:textId="77777777" w:rsidR="000A7E0D" w:rsidRPr="00203429" w:rsidRDefault="000A7E0D" w:rsidP="000A7E0D">
            <w:pPr>
              <w:rPr>
                <w:sz w:val="20"/>
                <w:szCs w:val="20"/>
              </w:rPr>
            </w:pPr>
          </w:p>
        </w:tc>
        <w:tc>
          <w:tcPr>
            <w:tcW w:w="1391" w:type="dxa"/>
          </w:tcPr>
          <w:p w14:paraId="0CF66086" w14:textId="77777777" w:rsidR="000A7E0D" w:rsidRPr="00203429" w:rsidRDefault="000A7E0D" w:rsidP="000A7E0D">
            <w:pPr>
              <w:rPr>
                <w:sz w:val="20"/>
                <w:szCs w:val="20"/>
              </w:rPr>
            </w:pPr>
          </w:p>
        </w:tc>
        <w:tc>
          <w:tcPr>
            <w:tcW w:w="1459" w:type="dxa"/>
            <w:gridSpan w:val="2"/>
          </w:tcPr>
          <w:p w14:paraId="62E1B651" w14:textId="20BC0AD7" w:rsidR="000A7E0D" w:rsidRPr="00203429" w:rsidRDefault="000A7E0D" w:rsidP="000A7E0D">
            <w:pPr>
              <w:jc w:val="center"/>
              <w:rPr>
                <w:sz w:val="20"/>
                <w:szCs w:val="20"/>
              </w:rPr>
            </w:pPr>
            <w:r w:rsidRPr="00203429">
              <w:rPr>
                <w:sz w:val="20"/>
                <w:szCs w:val="20"/>
              </w:rPr>
              <w:t>X</w:t>
            </w:r>
            <w:r w:rsidR="001A714E" w:rsidRPr="001A714E">
              <w:rPr>
                <w:sz w:val="20"/>
                <w:szCs w:val="20"/>
                <w:vertAlign w:val="superscript"/>
              </w:rPr>
              <w:t>1</w:t>
            </w:r>
          </w:p>
        </w:tc>
        <w:tc>
          <w:tcPr>
            <w:tcW w:w="1392" w:type="dxa"/>
          </w:tcPr>
          <w:p w14:paraId="081C1FC4" w14:textId="68F88F3A" w:rsidR="000A7E0D" w:rsidRPr="00203429" w:rsidRDefault="001A714E" w:rsidP="000A7E0D">
            <w:pPr>
              <w:jc w:val="center"/>
              <w:rPr>
                <w:sz w:val="20"/>
                <w:szCs w:val="20"/>
              </w:rPr>
            </w:pPr>
            <w:r>
              <w:rPr>
                <w:sz w:val="20"/>
                <w:szCs w:val="20"/>
              </w:rPr>
              <w:t>X</w:t>
            </w:r>
            <w:r w:rsidRPr="001A714E">
              <w:rPr>
                <w:sz w:val="20"/>
                <w:szCs w:val="20"/>
                <w:vertAlign w:val="superscript"/>
              </w:rPr>
              <w:t>2</w:t>
            </w:r>
          </w:p>
        </w:tc>
        <w:tc>
          <w:tcPr>
            <w:tcW w:w="1194" w:type="dxa"/>
          </w:tcPr>
          <w:p w14:paraId="39FB499E" w14:textId="77777777" w:rsidR="000A7E0D" w:rsidRPr="00203429" w:rsidRDefault="000A7E0D" w:rsidP="000A7E0D">
            <w:pPr>
              <w:rPr>
                <w:sz w:val="20"/>
                <w:szCs w:val="20"/>
              </w:rPr>
            </w:pPr>
          </w:p>
        </w:tc>
      </w:tr>
      <w:tr w:rsidR="001A714E" w:rsidRPr="00203429" w14:paraId="51129F4A" w14:textId="77777777" w:rsidTr="001A714E">
        <w:tc>
          <w:tcPr>
            <w:tcW w:w="2268" w:type="dxa"/>
          </w:tcPr>
          <w:p w14:paraId="62F5B018" w14:textId="0870A17B" w:rsidR="000A7E0D" w:rsidRPr="00203429" w:rsidRDefault="000A7E0D" w:rsidP="00655818">
            <w:pPr>
              <w:rPr>
                <w:b/>
                <w:sz w:val="20"/>
                <w:szCs w:val="20"/>
              </w:rPr>
            </w:pPr>
            <w:r w:rsidRPr="00203429">
              <w:rPr>
                <w:b/>
                <w:sz w:val="20"/>
                <w:szCs w:val="20"/>
              </w:rPr>
              <w:t xml:space="preserve">Serum, </w:t>
            </w:r>
            <w:r w:rsidR="00655818" w:rsidRPr="00203429">
              <w:rPr>
                <w:b/>
                <w:sz w:val="20"/>
                <w:szCs w:val="20"/>
              </w:rPr>
              <w:t>whole blood</w:t>
            </w:r>
            <w:r w:rsidRPr="00203429">
              <w:rPr>
                <w:b/>
                <w:sz w:val="20"/>
                <w:szCs w:val="20"/>
              </w:rPr>
              <w:t>, PB</w:t>
            </w:r>
            <w:r w:rsidR="002A064E" w:rsidRPr="00203429">
              <w:rPr>
                <w:b/>
                <w:sz w:val="20"/>
                <w:szCs w:val="20"/>
              </w:rPr>
              <w:t>M</w:t>
            </w:r>
            <w:r w:rsidRPr="00203429">
              <w:rPr>
                <w:b/>
                <w:sz w:val="20"/>
                <w:szCs w:val="20"/>
              </w:rPr>
              <w:t>C</w:t>
            </w:r>
          </w:p>
        </w:tc>
        <w:tc>
          <w:tcPr>
            <w:tcW w:w="1038" w:type="dxa"/>
          </w:tcPr>
          <w:p w14:paraId="0671675B" w14:textId="77777777" w:rsidR="000A7E0D" w:rsidRPr="00203429" w:rsidRDefault="000A7E0D" w:rsidP="000A7E0D">
            <w:pPr>
              <w:rPr>
                <w:sz w:val="20"/>
                <w:szCs w:val="20"/>
              </w:rPr>
            </w:pPr>
          </w:p>
        </w:tc>
        <w:tc>
          <w:tcPr>
            <w:tcW w:w="1135" w:type="dxa"/>
          </w:tcPr>
          <w:p w14:paraId="4796D158" w14:textId="77777777" w:rsidR="000A7E0D" w:rsidRPr="00203429" w:rsidRDefault="000A7E0D" w:rsidP="000A7E0D">
            <w:pPr>
              <w:rPr>
                <w:sz w:val="20"/>
                <w:szCs w:val="20"/>
              </w:rPr>
            </w:pPr>
          </w:p>
        </w:tc>
        <w:tc>
          <w:tcPr>
            <w:tcW w:w="1139" w:type="dxa"/>
          </w:tcPr>
          <w:p w14:paraId="7FE9FB26" w14:textId="77777777" w:rsidR="000A7E0D" w:rsidRPr="00203429" w:rsidRDefault="000A7E0D" w:rsidP="000A7E0D">
            <w:pPr>
              <w:rPr>
                <w:sz w:val="20"/>
                <w:szCs w:val="20"/>
              </w:rPr>
            </w:pPr>
          </w:p>
        </w:tc>
        <w:tc>
          <w:tcPr>
            <w:tcW w:w="1391" w:type="dxa"/>
          </w:tcPr>
          <w:p w14:paraId="4E54ED5F" w14:textId="77777777" w:rsidR="000A7E0D" w:rsidRPr="00203429" w:rsidRDefault="000A7E0D" w:rsidP="000A7E0D">
            <w:pPr>
              <w:rPr>
                <w:sz w:val="20"/>
                <w:szCs w:val="20"/>
              </w:rPr>
            </w:pPr>
          </w:p>
        </w:tc>
        <w:tc>
          <w:tcPr>
            <w:tcW w:w="1459" w:type="dxa"/>
            <w:gridSpan w:val="2"/>
          </w:tcPr>
          <w:p w14:paraId="2B232610" w14:textId="77777777" w:rsidR="000A7E0D" w:rsidRPr="00203429" w:rsidRDefault="000A7E0D" w:rsidP="000A7E0D">
            <w:pPr>
              <w:jc w:val="center"/>
              <w:rPr>
                <w:sz w:val="20"/>
                <w:szCs w:val="20"/>
              </w:rPr>
            </w:pPr>
            <w:r w:rsidRPr="00203429">
              <w:rPr>
                <w:sz w:val="20"/>
                <w:szCs w:val="20"/>
              </w:rPr>
              <w:t>X</w:t>
            </w:r>
          </w:p>
        </w:tc>
        <w:tc>
          <w:tcPr>
            <w:tcW w:w="1392" w:type="dxa"/>
          </w:tcPr>
          <w:p w14:paraId="7E77F166" w14:textId="77777777" w:rsidR="000A7E0D" w:rsidRPr="00203429" w:rsidRDefault="000A7E0D" w:rsidP="000A7E0D">
            <w:pPr>
              <w:jc w:val="center"/>
              <w:rPr>
                <w:sz w:val="20"/>
                <w:szCs w:val="20"/>
              </w:rPr>
            </w:pPr>
          </w:p>
        </w:tc>
        <w:tc>
          <w:tcPr>
            <w:tcW w:w="1194" w:type="dxa"/>
          </w:tcPr>
          <w:p w14:paraId="5A74E218" w14:textId="77777777" w:rsidR="000A7E0D" w:rsidRPr="00203429" w:rsidRDefault="000A7E0D" w:rsidP="000A7E0D">
            <w:pPr>
              <w:rPr>
                <w:sz w:val="20"/>
                <w:szCs w:val="20"/>
              </w:rPr>
            </w:pPr>
          </w:p>
        </w:tc>
      </w:tr>
    </w:tbl>
    <w:p w14:paraId="1461D05C" w14:textId="54E33200" w:rsidR="00CE19D6" w:rsidRDefault="006701A5" w:rsidP="00CE19D6">
      <w:pPr>
        <w:jc w:val="both"/>
        <w:rPr>
          <w:sz w:val="20"/>
          <w:szCs w:val="20"/>
        </w:rPr>
      </w:pPr>
      <w:r w:rsidRPr="00203429">
        <w:rPr>
          <w:sz w:val="20"/>
          <w:szCs w:val="20"/>
          <w:vertAlign w:val="superscript"/>
        </w:rPr>
        <w:t>1</w:t>
      </w:r>
      <w:r w:rsidRPr="00203429">
        <w:rPr>
          <w:sz w:val="20"/>
          <w:szCs w:val="20"/>
        </w:rPr>
        <w:t>Table III multipoint PK curve</w:t>
      </w:r>
    </w:p>
    <w:p w14:paraId="4515808E" w14:textId="204F2CC7" w:rsidR="00444ACE" w:rsidRPr="00444ACE" w:rsidRDefault="00444ACE" w:rsidP="00CE19D6">
      <w:pPr>
        <w:jc w:val="both"/>
        <w:rPr>
          <w:sz w:val="20"/>
          <w:szCs w:val="20"/>
        </w:rPr>
      </w:pPr>
      <w:r w:rsidRPr="00444ACE">
        <w:rPr>
          <w:sz w:val="20"/>
          <w:szCs w:val="20"/>
          <w:vertAlign w:val="superscript"/>
        </w:rPr>
        <w:t>2</w:t>
      </w:r>
      <w:r>
        <w:rPr>
          <w:sz w:val="20"/>
          <w:szCs w:val="20"/>
        </w:rPr>
        <w:t xml:space="preserve">Repeat </w:t>
      </w:r>
      <w:r w:rsidR="00583B94">
        <w:rPr>
          <w:sz w:val="20"/>
          <w:szCs w:val="20"/>
        </w:rPr>
        <w:t xml:space="preserve">3-view </w:t>
      </w:r>
      <w:r>
        <w:rPr>
          <w:sz w:val="20"/>
          <w:szCs w:val="20"/>
        </w:rPr>
        <w:t>thoracic radiog</w:t>
      </w:r>
      <w:r w:rsidR="007A1B4B">
        <w:rPr>
          <w:sz w:val="20"/>
          <w:szCs w:val="20"/>
        </w:rPr>
        <w:t>raphs</w:t>
      </w:r>
      <w:r>
        <w:rPr>
          <w:sz w:val="20"/>
          <w:szCs w:val="20"/>
        </w:rPr>
        <w:t xml:space="preserve"> will be completed on Day </w:t>
      </w:r>
      <w:r w:rsidR="00F317A1">
        <w:rPr>
          <w:sz w:val="20"/>
          <w:szCs w:val="20"/>
        </w:rPr>
        <w:t xml:space="preserve">26 </w:t>
      </w:r>
      <w:r>
        <w:rPr>
          <w:sz w:val="20"/>
          <w:szCs w:val="20"/>
        </w:rPr>
        <w:t xml:space="preserve">on </w:t>
      </w:r>
      <w:r w:rsidRPr="00444ACE">
        <w:rPr>
          <w:sz w:val="20"/>
          <w:szCs w:val="20"/>
        </w:rPr>
        <w:t>Cycle</w:t>
      </w:r>
      <w:r>
        <w:rPr>
          <w:sz w:val="20"/>
          <w:szCs w:val="20"/>
        </w:rPr>
        <w:t xml:space="preserve"> 2 and Cycle 4</w:t>
      </w:r>
    </w:p>
    <w:p w14:paraId="2DCE0D5B" w14:textId="77777777" w:rsidR="006701A5" w:rsidRPr="006701A5" w:rsidRDefault="006701A5" w:rsidP="00CE19D6">
      <w:pPr>
        <w:jc w:val="both"/>
        <w:rPr>
          <w:b/>
        </w:rPr>
      </w:pPr>
    </w:p>
    <w:p w14:paraId="07831A63" w14:textId="3B05F6CE" w:rsidR="00CE19D6" w:rsidRPr="00B33834" w:rsidRDefault="00CE19D6" w:rsidP="00CE19D6">
      <w:pPr>
        <w:jc w:val="both"/>
        <w:rPr>
          <w:b/>
        </w:rPr>
      </w:pPr>
      <w:r>
        <w:rPr>
          <w:b/>
        </w:rPr>
        <w:t>4.</w:t>
      </w:r>
      <w:r w:rsidR="00203429">
        <w:rPr>
          <w:b/>
        </w:rPr>
        <w:t>5</w:t>
      </w:r>
      <w:r w:rsidRPr="00B33834">
        <w:rPr>
          <w:b/>
        </w:rPr>
        <w:t xml:space="preserve"> Biological Collections and Application</w:t>
      </w:r>
    </w:p>
    <w:p w14:paraId="4B980DF3" w14:textId="77777777" w:rsidR="00CE19D6" w:rsidRPr="00B33834" w:rsidRDefault="00CE19D6" w:rsidP="00CE19D6">
      <w:pPr>
        <w:jc w:val="both"/>
        <w:rPr>
          <w:b/>
        </w:rPr>
      </w:pPr>
    </w:p>
    <w:p w14:paraId="190A9098" w14:textId="6B7968DB" w:rsidR="00CE19D6" w:rsidRPr="00B33834" w:rsidRDefault="00CE19D6" w:rsidP="00826D24">
      <w:pPr>
        <w:ind w:firstLine="360"/>
        <w:jc w:val="both"/>
        <w:rPr>
          <w:b/>
          <w:color w:val="000000"/>
        </w:rPr>
      </w:pPr>
      <w:r w:rsidRPr="00B33834">
        <w:rPr>
          <w:b/>
          <w:color w:val="000000"/>
        </w:rPr>
        <w:t>Serum, whole blood, and PBMCs</w:t>
      </w:r>
    </w:p>
    <w:p w14:paraId="4559CEE4" w14:textId="73A3C3E9" w:rsidR="00CE19D6" w:rsidRPr="00B33834" w:rsidRDefault="00CE19D6" w:rsidP="00826D24">
      <w:pPr>
        <w:pStyle w:val="NormalWeb"/>
        <w:spacing w:before="0" w:beforeAutospacing="0" w:after="0" w:afterAutospacing="0"/>
        <w:ind w:left="360"/>
        <w:jc w:val="both"/>
        <w:rPr>
          <w:rFonts w:ascii="Times" w:hAnsi="Times"/>
          <w:bCs/>
          <w:color w:val="000000"/>
        </w:rPr>
      </w:pPr>
      <w:r w:rsidRPr="00B33834">
        <w:rPr>
          <w:rFonts w:ascii="Times" w:hAnsi="Times"/>
          <w:color w:val="000000"/>
        </w:rPr>
        <w:t xml:space="preserve">Serum </w:t>
      </w:r>
      <w:r w:rsidRPr="00B33834">
        <w:rPr>
          <w:rFonts w:ascii="Times" w:hAnsi="Times"/>
        </w:rPr>
        <w:t>will be collected</w:t>
      </w:r>
      <w:r w:rsidRPr="00B33834">
        <w:rPr>
          <w:rFonts w:ascii="Times" w:hAnsi="Times"/>
          <w:i/>
        </w:rPr>
        <w:t xml:space="preserve"> </w:t>
      </w:r>
      <w:r w:rsidRPr="00B33834">
        <w:rPr>
          <w:rFonts w:ascii="Times" w:hAnsi="Times"/>
        </w:rPr>
        <w:t xml:space="preserve">on </w:t>
      </w:r>
      <w:r w:rsidR="003203E7">
        <w:rPr>
          <w:rFonts w:ascii="Times" w:hAnsi="Times"/>
        </w:rPr>
        <w:t>Day 25 of each cycle.</w:t>
      </w:r>
      <w:r w:rsidRPr="00B33834">
        <w:rPr>
          <w:rFonts w:ascii="Times" w:hAnsi="Times"/>
        </w:rPr>
        <w:t xml:space="preserve"> </w:t>
      </w:r>
      <w:r w:rsidRPr="00B33834">
        <w:rPr>
          <w:rFonts w:ascii="Times" w:hAnsi="Times"/>
          <w:color w:val="000000"/>
        </w:rPr>
        <w:t>Serum collections will occur prior to Rapamycin administration. These collections will be maintained for post-hoc analysis.</w:t>
      </w:r>
    </w:p>
    <w:p w14:paraId="52ADA04F" w14:textId="77777777" w:rsidR="00826D24" w:rsidRDefault="00826D24" w:rsidP="00826D24">
      <w:pPr>
        <w:pStyle w:val="NormalWeb"/>
        <w:spacing w:before="0" w:beforeAutospacing="0" w:after="0" w:afterAutospacing="0"/>
        <w:ind w:left="360"/>
        <w:jc w:val="both"/>
        <w:rPr>
          <w:rFonts w:ascii="Times" w:hAnsi="Times"/>
        </w:rPr>
      </w:pPr>
    </w:p>
    <w:p w14:paraId="682F4682" w14:textId="2290466B" w:rsidR="00CE19D6" w:rsidRDefault="00F317A1" w:rsidP="00826D24">
      <w:pPr>
        <w:pStyle w:val="NormalWeb"/>
        <w:spacing w:before="0" w:beforeAutospacing="0" w:after="0" w:afterAutospacing="0"/>
        <w:ind w:left="360"/>
        <w:jc w:val="both"/>
        <w:rPr>
          <w:rFonts w:ascii="Times" w:hAnsi="Times"/>
        </w:rPr>
      </w:pPr>
      <w:r>
        <w:rPr>
          <w:rFonts w:ascii="Times" w:hAnsi="Times"/>
        </w:rPr>
        <w:t>Five s</w:t>
      </w:r>
      <w:r w:rsidR="003203E7">
        <w:rPr>
          <w:rFonts w:ascii="Times" w:hAnsi="Times"/>
        </w:rPr>
        <w:t>erial w</w:t>
      </w:r>
      <w:r w:rsidR="00CE19D6" w:rsidRPr="00B33834">
        <w:rPr>
          <w:rFonts w:ascii="Times" w:hAnsi="Times"/>
        </w:rPr>
        <w:t xml:space="preserve">hole blood collections </w:t>
      </w:r>
      <w:r>
        <w:rPr>
          <w:rFonts w:ascii="Times" w:hAnsi="Times"/>
        </w:rPr>
        <w:t xml:space="preserve">for PK profiling </w:t>
      </w:r>
      <w:r w:rsidR="00CE19D6" w:rsidRPr="00B33834">
        <w:rPr>
          <w:rFonts w:ascii="Times" w:hAnsi="Times"/>
        </w:rPr>
        <w:t xml:space="preserve">will occur </w:t>
      </w:r>
      <w:r w:rsidR="003203E7">
        <w:rPr>
          <w:rFonts w:ascii="Times" w:hAnsi="Times"/>
        </w:rPr>
        <w:t>on study</w:t>
      </w:r>
      <w:r>
        <w:rPr>
          <w:rFonts w:ascii="Times" w:hAnsi="Times"/>
        </w:rPr>
        <w:t xml:space="preserve"> in dogs receiving rapamycin</w:t>
      </w:r>
      <w:r w:rsidR="003203E7">
        <w:rPr>
          <w:rFonts w:ascii="Times" w:hAnsi="Times"/>
        </w:rPr>
        <w:t xml:space="preserve">. Each </w:t>
      </w:r>
      <w:r w:rsidR="00224FF8">
        <w:rPr>
          <w:rFonts w:ascii="Times" w:hAnsi="Times"/>
        </w:rPr>
        <w:t>PK profiling will include a pre-treatment sample (Time 0, trough) and additional 6</w:t>
      </w:r>
      <w:r w:rsidR="003203E7">
        <w:rPr>
          <w:rFonts w:ascii="Times" w:hAnsi="Times"/>
        </w:rPr>
        <w:t>-point serial whole blood collection</w:t>
      </w:r>
      <w:r w:rsidR="00224FF8">
        <w:rPr>
          <w:rFonts w:ascii="Times" w:hAnsi="Times"/>
        </w:rPr>
        <w:t>s</w:t>
      </w:r>
      <w:r w:rsidR="003203E7">
        <w:rPr>
          <w:rFonts w:ascii="Times" w:hAnsi="Times"/>
        </w:rPr>
        <w:t xml:space="preserve"> over 24 hours. </w:t>
      </w:r>
      <w:r w:rsidR="00CE19D6" w:rsidRPr="00B33834">
        <w:rPr>
          <w:rFonts w:ascii="Times" w:hAnsi="Times"/>
        </w:rPr>
        <w:t>The pre-treatment sample</w:t>
      </w:r>
      <w:r w:rsidR="003203E7">
        <w:rPr>
          <w:rFonts w:ascii="Times" w:hAnsi="Times"/>
        </w:rPr>
        <w:t xml:space="preserve"> (</w:t>
      </w:r>
      <w:r w:rsidR="005F0814">
        <w:rPr>
          <w:rFonts w:ascii="Times" w:hAnsi="Times"/>
        </w:rPr>
        <w:t>Time 0, trough</w:t>
      </w:r>
      <w:r w:rsidR="003203E7">
        <w:rPr>
          <w:rFonts w:ascii="Times" w:hAnsi="Times"/>
        </w:rPr>
        <w:t>)</w:t>
      </w:r>
      <w:r w:rsidR="00CE19D6" w:rsidRPr="00B33834">
        <w:rPr>
          <w:rFonts w:ascii="Times" w:hAnsi="Times"/>
        </w:rPr>
        <w:t xml:space="preserve"> will serve as a standardized baseline for each patient. Times will include </w:t>
      </w:r>
      <w:r w:rsidR="003203E7">
        <w:rPr>
          <w:rFonts w:ascii="Times" w:hAnsi="Times"/>
        </w:rPr>
        <w:t>pre-treatment</w:t>
      </w:r>
      <w:r w:rsidR="005F0814">
        <w:rPr>
          <w:rFonts w:ascii="Times" w:hAnsi="Times"/>
        </w:rPr>
        <w:t xml:space="preserve"> (Time 0, trough)</w:t>
      </w:r>
      <w:r w:rsidR="003203E7">
        <w:rPr>
          <w:rFonts w:ascii="Times" w:hAnsi="Times"/>
        </w:rPr>
        <w:t xml:space="preserve">, </w:t>
      </w:r>
      <w:r w:rsidR="00CE19D6" w:rsidRPr="00B33834">
        <w:rPr>
          <w:rFonts w:ascii="Times" w:hAnsi="Times"/>
        </w:rPr>
        <w:t>1</w:t>
      </w:r>
      <w:r w:rsidR="005F0814">
        <w:rPr>
          <w:rFonts w:ascii="Times" w:hAnsi="Times"/>
        </w:rPr>
        <w:t xml:space="preserve"> </w:t>
      </w:r>
      <w:proofErr w:type="spellStart"/>
      <w:r w:rsidR="003203E7">
        <w:rPr>
          <w:rFonts w:ascii="Times" w:hAnsi="Times"/>
        </w:rPr>
        <w:t>hr</w:t>
      </w:r>
      <w:proofErr w:type="spellEnd"/>
      <w:r w:rsidR="00CE19D6" w:rsidRPr="00B33834">
        <w:rPr>
          <w:rFonts w:ascii="Times" w:hAnsi="Times"/>
        </w:rPr>
        <w:t xml:space="preserve">, 2, 4, 6, 8, </w:t>
      </w:r>
      <w:r w:rsidR="003203E7">
        <w:rPr>
          <w:rFonts w:ascii="Times" w:hAnsi="Times"/>
        </w:rPr>
        <w:t xml:space="preserve">and </w:t>
      </w:r>
      <w:r w:rsidR="00CE19D6" w:rsidRPr="00B33834">
        <w:rPr>
          <w:rFonts w:ascii="Times" w:hAnsi="Times"/>
        </w:rPr>
        <w:t xml:space="preserve">24 hours. </w:t>
      </w:r>
      <w:r w:rsidR="003203E7">
        <w:rPr>
          <w:rFonts w:ascii="Times" w:hAnsi="Times"/>
        </w:rPr>
        <w:t>Serial whole blood collections will occur on Day</w:t>
      </w:r>
      <w:r w:rsidR="005F0814">
        <w:rPr>
          <w:rFonts w:ascii="Times" w:hAnsi="Times"/>
        </w:rPr>
        <w:t>s</w:t>
      </w:r>
      <w:r w:rsidR="003203E7">
        <w:rPr>
          <w:rFonts w:ascii="Times" w:hAnsi="Times"/>
        </w:rPr>
        <w:t xml:space="preserve"> 11</w:t>
      </w:r>
      <w:r w:rsidR="005F0814">
        <w:rPr>
          <w:rFonts w:ascii="Times" w:hAnsi="Times"/>
        </w:rPr>
        <w:t xml:space="preserve"> and 25 on</w:t>
      </w:r>
      <w:r w:rsidR="003203E7">
        <w:rPr>
          <w:rFonts w:ascii="Times" w:hAnsi="Times"/>
        </w:rPr>
        <w:t xml:space="preserve"> cycle </w:t>
      </w:r>
      <w:r w:rsidR="005F0814">
        <w:rPr>
          <w:rFonts w:ascii="Times" w:hAnsi="Times"/>
        </w:rPr>
        <w:t>1</w:t>
      </w:r>
      <w:r w:rsidR="003203E7">
        <w:rPr>
          <w:rFonts w:ascii="Times" w:hAnsi="Times"/>
        </w:rPr>
        <w:t xml:space="preserve"> and </w:t>
      </w:r>
      <w:r w:rsidR="005F0814">
        <w:rPr>
          <w:rFonts w:ascii="Times" w:hAnsi="Times"/>
        </w:rPr>
        <w:t xml:space="preserve">on </w:t>
      </w:r>
      <w:r w:rsidR="003203E7">
        <w:rPr>
          <w:rFonts w:ascii="Times" w:hAnsi="Times"/>
        </w:rPr>
        <w:t xml:space="preserve">Day 25 on cycles 2, 3 and 4. </w:t>
      </w:r>
    </w:p>
    <w:p w14:paraId="71A7C066" w14:textId="6BA3F8F1" w:rsidR="003203E7" w:rsidRPr="00B33834" w:rsidRDefault="003203E7" w:rsidP="00826D24">
      <w:pPr>
        <w:pStyle w:val="NormalWeb"/>
        <w:spacing w:before="0" w:beforeAutospacing="0" w:after="0" w:afterAutospacing="0"/>
        <w:ind w:left="360"/>
        <w:jc w:val="both"/>
        <w:rPr>
          <w:rFonts w:ascii="Times" w:hAnsi="Times"/>
          <w:bCs/>
          <w:color w:val="000000"/>
        </w:rPr>
      </w:pPr>
      <w:r>
        <w:rPr>
          <w:rFonts w:ascii="Times" w:hAnsi="Times"/>
          <w:color w:val="000000"/>
        </w:rPr>
        <w:t>PBMCs</w:t>
      </w:r>
      <w:r w:rsidRPr="00B33834">
        <w:rPr>
          <w:rFonts w:ascii="Times" w:hAnsi="Times"/>
          <w:color w:val="000000"/>
        </w:rPr>
        <w:t xml:space="preserve"> </w:t>
      </w:r>
      <w:r w:rsidRPr="00B33834">
        <w:rPr>
          <w:rFonts w:ascii="Times" w:hAnsi="Times"/>
        </w:rPr>
        <w:t>will be collected</w:t>
      </w:r>
      <w:r w:rsidRPr="00B33834">
        <w:rPr>
          <w:rFonts w:ascii="Times" w:hAnsi="Times"/>
          <w:i/>
        </w:rPr>
        <w:t xml:space="preserve"> </w:t>
      </w:r>
      <w:r w:rsidRPr="00B33834">
        <w:rPr>
          <w:rFonts w:ascii="Times" w:hAnsi="Times"/>
        </w:rPr>
        <w:t xml:space="preserve">on </w:t>
      </w:r>
      <w:r>
        <w:rPr>
          <w:rFonts w:ascii="Times" w:hAnsi="Times"/>
        </w:rPr>
        <w:t>Day 25 of each cycle.</w:t>
      </w:r>
      <w:r w:rsidRPr="00B33834">
        <w:rPr>
          <w:rFonts w:ascii="Times" w:hAnsi="Times"/>
        </w:rPr>
        <w:t xml:space="preserve"> </w:t>
      </w:r>
      <w:r>
        <w:rPr>
          <w:rFonts w:ascii="Times" w:hAnsi="Times"/>
          <w:color w:val="000000"/>
        </w:rPr>
        <w:t>PBMC</w:t>
      </w:r>
      <w:r w:rsidRPr="00B33834">
        <w:rPr>
          <w:rFonts w:ascii="Times" w:hAnsi="Times"/>
          <w:color w:val="000000"/>
        </w:rPr>
        <w:t xml:space="preserve"> collections will occur prior to Rapamycin administration. These collections will be maintained for post-hoc analysis.</w:t>
      </w:r>
    </w:p>
    <w:p w14:paraId="6560C650" w14:textId="77777777" w:rsidR="0043247C" w:rsidRPr="00EC7320" w:rsidRDefault="0043247C" w:rsidP="0043247C">
      <w:pPr>
        <w:jc w:val="both"/>
        <w:rPr>
          <w:b/>
          <w:bCs/>
        </w:rPr>
      </w:pPr>
    </w:p>
    <w:p w14:paraId="4CA4DE4D" w14:textId="1A0FAF99" w:rsidR="0043247C" w:rsidRPr="00EC7320" w:rsidRDefault="008B7E84" w:rsidP="0043247C">
      <w:pPr>
        <w:jc w:val="both"/>
        <w:rPr>
          <w:b/>
        </w:rPr>
      </w:pPr>
      <w:r>
        <w:rPr>
          <w:b/>
        </w:rPr>
        <w:t>5.0</w:t>
      </w:r>
      <w:r w:rsidR="0043247C" w:rsidRPr="00EC7320">
        <w:rPr>
          <w:b/>
        </w:rPr>
        <w:t xml:space="preserve"> Clinical Evaluation:</w:t>
      </w:r>
    </w:p>
    <w:p w14:paraId="6BF117BF" w14:textId="05F40B3B" w:rsidR="0043247C" w:rsidRPr="00EC7320" w:rsidRDefault="0043247C" w:rsidP="0043247C">
      <w:pPr>
        <w:jc w:val="both"/>
      </w:pPr>
      <w:r w:rsidRPr="00EC7320">
        <w:lastRenderedPageBreak/>
        <w:t xml:space="preserve">In this study, dogs are evaluated in the minimal residual disease setting after limb amputation. Therefore, the clinical and biological endpoints </w:t>
      </w:r>
      <w:r w:rsidR="005F0814">
        <w:t>for study are restricted</w:t>
      </w:r>
      <w:r w:rsidR="005F0814" w:rsidRPr="00EC7320">
        <w:t xml:space="preserve"> </w:t>
      </w:r>
      <w:r w:rsidRPr="00EC7320">
        <w:t>to the delay of clinically detectable pulmonary metastasis</w:t>
      </w:r>
      <w:r w:rsidR="005F0814">
        <w:t xml:space="preserve"> assessed with thorough physical examination and 3-view thoracic radiographs</w:t>
      </w:r>
      <w:r w:rsidRPr="00EC7320">
        <w:t>. In the event that a suspicious lesion(s) are detected via PE or imaging studies at any point during the study, confirmation of such lesion</w:t>
      </w:r>
      <w:r w:rsidR="005F0814">
        <w:t>(s)</w:t>
      </w:r>
      <w:r w:rsidRPr="00EC7320">
        <w:t xml:space="preserve"> as </w:t>
      </w:r>
      <w:r w:rsidR="005F0814" w:rsidRPr="00EC7320">
        <w:t>metastas</w:t>
      </w:r>
      <w:r w:rsidR="005F0814">
        <w:t>e</w:t>
      </w:r>
      <w:r w:rsidR="005F0814" w:rsidRPr="00EC7320">
        <w:t xml:space="preserve">s </w:t>
      </w:r>
      <w:r w:rsidRPr="00EC7320">
        <w:t>may be necessary. Discussion with study investigators/DSMB may be required prior to deeming a dog off-study.</w:t>
      </w:r>
    </w:p>
    <w:p w14:paraId="1B28EA2F" w14:textId="77777777" w:rsidR="0043247C" w:rsidRPr="00EC7320" w:rsidRDefault="0043247C" w:rsidP="0043247C">
      <w:pPr>
        <w:jc w:val="both"/>
      </w:pPr>
    </w:p>
    <w:p w14:paraId="77F7BC4C" w14:textId="69EBCE5D" w:rsidR="00CF5798" w:rsidRDefault="0043247C" w:rsidP="0043247C">
      <w:pPr>
        <w:jc w:val="both"/>
      </w:pPr>
      <w:r w:rsidRPr="00EC7320">
        <w:t xml:space="preserve">If progressive disease is detected or suspected based on suspicious lesions that develop during </w:t>
      </w:r>
      <w:r w:rsidR="00024171">
        <w:t xml:space="preserve">carboplatin </w:t>
      </w:r>
      <w:r w:rsidRPr="00EC7320">
        <w:t>chemotherapy</w:t>
      </w:r>
      <w:r w:rsidR="00024171">
        <w:t xml:space="preserve"> or rapamycin therapy</w:t>
      </w:r>
      <w:r w:rsidRPr="00EC7320">
        <w:t xml:space="preserve">, repeat </w:t>
      </w:r>
      <w:r w:rsidR="005F0814">
        <w:t xml:space="preserve">3-view </w:t>
      </w:r>
      <w:r w:rsidRPr="00EC7320">
        <w:t xml:space="preserve">thoracic radiographs should be evaluated and compared to the previous radiographs in 4 weeks’ time. At that point, a decision regarding attribution of the suspicious lesion(s) will be made between the COTC clinician and Dr. </w:t>
      </w:r>
      <w:r w:rsidR="00183D6B">
        <w:t>Fan</w:t>
      </w:r>
      <w:r w:rsidRPr="00EC7320">
        <w:t>. At confirmation of progressive disease, dogs will be deemed off-study and may be offered alternative therapy.</w:t>
      </w:r>
    </w:p>
    <w:p w14:paraId="0C92214D" w14:textId="77777777" w:rsidR="003203E7" w:rsidRDefault="003203E7" w:rsidP="0043247C">
      <w:pPr>
        <w:jc w:val="both"/>
      </w:pPr>
    </w:p>
    <w:p w14:paraId="6463673D" w14:textId="6D3E11FF" w:rsidR="0043247C" w:rsidRPr="00EC7320" w:rsidRDefault="008B7E84" w:rsidP="0043247C">
      <w:pPr>
        <w:jc w:val="both"/>
      </w:pPr>
      <w:r>
        <w:rPr>
          <w:b/>
        </w:rPr>
        <w:t>6.0</w:t>
      </w:r>
      <w:r w:rsidR="0043247C" w:rsidRPr="00EC7320">
        <w:rPr>
          <w:b/>
        </w:rPr>
        <w:t xml:space="preserve"> Toxicity</w:t>
      </w:r>
      <w:r w:rsidR="0043247C" w:rsidRPr="00EC7320">
        <w:t xml:space="preserve"> </w:t>
      </w:r>
    </w:p>
    <w:p w14:paraId="43B6ACA7" w14:textId="53F5C02A" w:rsidR="008B7E84" w:rsidRDefault="0043247C" w:rsidP="0043247C">
      <w:pPr>
        <w:jc w:val="both"/>
      </w:pPr>
      <w:r w:rsidRPr="00EC7320">
        <w:t>Acute or chronic toxicity due to surgery for limb amputation</w:t>
      </w:r>
      <w:r w:rsidR="00CF5798">
        <w:t xml:space="preserve">, </w:t>
      </w:r>
      <w:r w:rsidRPr="00EC7320">
        <w:t xml:space="preserve">carboplatin </w:t>
      </w:r>
      <w:r w:rsidR="00CF5798">
        <w:t xml:space="preserve">and rapamycin </w:t>
      </w:r>
      <w:r w:rsidRPr="00EC7320">
        <w:t>exposure</w:t>
      </w:r>
      <w:r w:rsidR="00CF5798">
        <w:t>s</w:t>
      </w:r>
      <w:r w:rsidRPr="00EC7320">
        <w:t xml:space="preserve"> will be assessed within this trial design.  Veterinary Cooperative Oncology Group Common Toxicity Criteria for Adverse Events (VCOG-CTCAE) will be used to determine dose-limiting toxicities (</w:t>
      </w:r>
      <w:r w:rsidRPr="00EC7320">
        <w:rPr>
          <w:i/>
        </w:rPr>
        <w:t xml:space="preserve">Appendices </w:t>
      </w:r>
      <w:r w:rsidR="0095665D">
        <w:rPr>
          <w:i/>
        </w:rPr>
        <w:t>II</w:t>
      </w:r>
      <w:r w:rsidR="0095665D" w:rsidRPr="00EC7320">
        <w:rPr>
          <w:i/>
        </w:rPr>
        <w:t xml:space="preserve"> </w:t>
      </w:r>
      <w:r w:rsidRPr="00EC7320">
        <w:rPr>
          <w:i/>
        </w:rPr>
        <w:t xml:space="preserve">and </w:t>
      </w:r>
      <w:r w:rsidR="0095665D">
        <w:rPr>
          <w:i/>
        </w:rPr>
        <w:t>III</w:t>
      </w:r>
      <w:r w:rsidRPr="00EC7320">
        <w:t xml:space="preserve">).  </w:t>
      </w:r>
    </w:p>
    <w:p w14:paraId="18F186C7" w14:textId="77777777" w:rsidR="00CE19D6" w:rsidRDefault="00CE19D6" w:rsidP="00826D24">
      <w:pPr>
        <w:jc w:val="both"/>
      </w:pPr>
    </w:p>
    <w:p w14:paraId="04CC2F6D" w14:textId="7216C1BD" w:rsidR="00CE19D6" w:rsidRDefault="003203E7" w:rsidP="0043247C">
      <w:pPr>
        <w:ind w:left="720"/>
        <w:jc w:val="both"/>
        <w:rPr>
          <w:b/>
        </w:rPr>
      </w:pPr>
      <w:r>
        <w:rPr>
          <w:b/>
        </w:rPr>
        <w:t>6.</w:t>
      </w:r>
      <w:r w:rsidR="00181575">
        <w:rPr>
          <w:b/>
        </w:rPr>
        <w:t>1</w:t>
      </w:r>
      <w:r>
        <w:rPr>
          <w:b/>
        </w:rPr>
        <w:t xml:space="preserve"> Drug Holidays-Rapamycin</w:t>
      </w:r>
    </w:p>
    <w:p w14:paraId="7D896702" w14:textId="698B7D2F" w:rsidR="009F042A" w:rsidRDefault="009F042A" w:rsidP="009F042A">
      <w:pPr>
        <w:ind w:left="720"/>
        <w:jc w:val="both"/>
        <w:rPr>
          <w:rFonts w:ascii="Times New Roman" w:hAnsi="Times New Roman"/>
        </w:rPr>
      </w:pPr>
      <w:proofErr w:type="gramStart"/>
      <w:r w:rsidRPr="00B10260">
        <w:rPr>
          <w:rFonts w:ascii="Times New Roman" w:hAnsi="Times New Roman"/>
        </w:rPr>
        <w:t>In the event that</w:t>
      </w:r>
      <w:proofErr w:type="gramEnd"/>
      <w:r w:rsidRPr="00B10260">
        <w:rPr>
          <w:rFonts w:ascii="Times New Roman" w:hAnsi="Times New Roman"/>
        </w:rPr>
        <w:t xml:space="preserve"> a dog experiences a Grade 2 toxicity for greater than 72 hours please contact Dr. Tim Fan to discuss. It is likely </w:t>
      </w:r>
      <w:r>
        <w:rPr>
          <w:rFonts w:ascii="Times New Roman" w:hAnsi="Times New Roman"/>
        </w:rPr>
        <w:t xml:space="preserve">that </w:t>
      </w:r>
      <w:r w:rsidRPr="00B10260">
        <w:rPr>
          <w:rFonts w:ascii="Times New Roman" w:hAnsi="Times New Roman"/>
        </w:rPr>
        <w:t xml:space="preserve">a </w:t>
      </w:r>
      <w:r w:rsidR="00224FF8">
        <w:rPr>
          <w:rFonts w:ascii="Times New Roman" w:hAnsi="Times New Roman"/>
        </w:rPr>
        <w:t>7-day</w:t>
      </w:r>
      <w:r w:rsidRPr="00B10260">
        <w:rPr>
          <w:rFonts w:ascii="Times New Roman" w:hAnsi="Times New Roman"/>
        </w:rPr>
        <w:t xml:space="preserve"> drug holiday will be implemented</w:t>
      </w:r>
      <w:r w:rsidR="00224FF8">
        <w:rPr>
          <w:rFonts w:ascii="Times New Roman" w:hAnsi="Times New Roman"/>
        </w:rPr>
        <w:t xml:space="preserve"> based upon the half-life of elimination of rapamycin</w:t>
      </w:r>
      <w:r>
        <w:rPr>
          <w:rFonts w:ascii="Times New Roman" w:hAnsi="Times New Roman"/>
        </w:rPr>
        <w:t>, but ultimately will be based upon the time in course the events occur and upon case-specific discussions with the PI</w:t>
      </w:r>
      <w:r w:rsidRPr="00B10260">
        <w:rPr>
          <w:rFonts w:ascii="Times New Roman" w:hAnsi="Times New Roman"/>
        </w:rPr>
        <w:t>.</w:t>
      </w:r>
      <w:r w:rsidRPr="00B10260">
        <w:rPr>
          <w:rFonts w:ascii="Times New Roman" w:hAnsi="Times New Roman"/>
          <w:b/>
        </w:rPr>
        <w:t xml:space="preserve"> </w:t>
      </w:r>
      <w:r w:rsidRPr="00B10260">
        <w:rPr>
          <w:rFonts w:ascii="Times New Roman" w:hAnsi="Times New Roman"/>
        </w:rPr>
        <w:t>There will be no dose reduction. All dogs will be treated</w:t>
      </w:r>
      <w:r w:rsidR="00224FF8">
        <w:rPr>
          <w:rFonts w:ascii="Times New Roman" w:hAnsi="Times New Roman"/>
        </w:rPr>
        <w:t xml:space="preserve"> with rapamycin</w:t>
      </w:r>
      <w:r w:rsidRPr="00B10260">
        <w:rPr>
          <w:rFonts w:ascii="Times New Roman" w:hAnsi="Times New Roman"/>
        </w:rPr>
        <w:t xml:space="preserve"> at 0.1 mg/kg. After the </w:t>
      </w:r>
      <w:r w:rsidR="00224FF8">
        <w:rPr>
          <w:rFonts w:ascii="Times New Roman" w:hAnsi="Times New Roman"/>
        </w:rPr>
        <w:t>7-day</w:t>
      </w:r>
      <w:r w:rsidRPr="00B10260">
        <w:rPr>
          <w:rFonts w:ascii="Times New Roman" w:hAnsi="Times New Roman"/>
        </w:rPr>
        <w:t xml:space="preserve"> drug holiday the dog will resume treatment at a modified schedule of treatment on Monday, Wednesday and Friday. </w:t>
      </w:r>
      <w:r w:rsidRPr="00826D24">
        <w:rPr>
          <w:rFonts w:ascii="Times New Roman" w:hAnsi="Times New Roman"/>
          <w:b/>
          <w:u w:val="single"/>
        </w:rPr>
        <w:t>Recheck visits with collections will occur on a Friday instead of Thursday for dogs that are on the MWF schedule</w:t>
      </w:r>
      <w:r w:rsidRPr="00B10260">
        <w:rPr>
          <w:rFonts w:ascii="Times New Roman" w:hAnsi="Times New Roman"/>
        </w:rPr>
        <w:t>. If a dog is unable to tolerate the modified MWF dosing schedule for 2 weeks or is still experiencing a Grade 2 event</w:t>
      </w:r>
      <w:r w:rsidR="00224FF8">
        <w:rPr>
          <w:rFonts w:ascii="Times New Roman" w:hAnsi="Times New Roman"/>
        </w:rPr>
        <w:t>,</w:t>
      </w:r>
      <w:r w:rsidRPr="00B10260">
        <w:rPr>
          <w:rFonts w:ascii="Times New Roman" w:hAnsi="Times New Roman"/>
        </w:rPr>
        <w:t xml:space="preserve"> the dog will be removed from study and is free to pursue alternative treatments.  </w:t>
      </w:r>
    </w:p>
    <w:p w14:paraId="3D3036F7" w14:textId="3915C59F" w:rsidR="00D95D20" w:rsidRDefault="00D95D20" w:rsidP="009F042A">
      <w:pPr>
        <w:jc w:val="both"/>
        <w:rPr>
          <w:rFonts w:ascii="Times New Roman" w:hAnsi="Times New Roman"/>
        </w:rPr>
      </w:pPr>
    </w:p>
    <w:p w14:paraId="480D4288" w14:textId="1658B38F" w:rsidR="00181575" w:rsidRPr="00826D24" w:rsidRDefault="00181575" w:rsidP="00826D24">
      <w:pPr>
        <w:ind w:left="720"/>
        <w:jc w:val="both"/>
        <w:rPr>
          <w:rFonts w:ascii="Times New Roman" w:hAnsi="Times New Roman"/>
          <w:b/>
        </w:rPr>
      </w:pPr>
      <w:r w:rsidRPr="00D35A38">
        <w:rPr>
          <w:rFonts w:ascii="Times New Roman" w:hAnsi="Times New Roman"/>
          <w:b/>
        </w:rPr>
        <w:t>6.2 Study Stopping Rules</w:t>
      </w:r>
    </w:p>
    <w:p w14:paraId="05B80289" w14:textId="5F8C13A3" w:rsidR="009F042A" w:rsidRPr="00535585" w:rsidRDefault="009F042A" w:rsidP="009F042A">
      <w:pPr>
        <w:ind w:left="720"/>
        <w:jc w:val="both"/>
        <w:rPr>
          <w:rFonts w:ascii="Times New Roman" w:hAnsi="Times New Roman"/>
          <w:b/>
        </w:rPr>
      </w:pPr>
      <w:r>
        <w:rPr>
          <w:rFonts w:ascii="Times New Roman" w:hAnsi="Times New Roman"/>
        </w:rPr>
        <w:t>In the event 33% of dogs require a drug holiday, the study schedule for all dogs will switch to Monday-Wednesday-Friday drug administration schedule. In the event 33% of dogs require a drug holiday on the MWF study schedule, the study would be temporarily suspended until the clinical data can be reviewed by the DSMB</w:t>
      </w:r>
      <w:r w:rsidR="005C00D6">
        <w:rPr>
          <w:rFonts w:ascii="Times New Roman" w:hAnsi="Times New Roman"/>
        </w:rPr>
        <w:t xml:space="preserve"> and a recommendation made for the ongoing conduct of the trial</w:t>
      </w:r>
      <w:r>
        <w:rPr>
          <w:rFonts w:ascii="Times New Roman" w:hAnsi="Times New Roman"/>
        </w:rPr>
        <w:t xml:space="preserve">. </w:t>
      </w:r>
    </w:p>
    <w:p w14:paraId="131F0F16" w14:textId="63ED2C65" w:rsidR="0043247C" w:rsidRPr="00EC7320" w:rsidRDefault="0043247C" w:rsidP="0043247C">
      <w:pPr>
        <w:jc w:val="both"/>
        <w:rPr>
          <w:b/>
        </w:rPr>
      </w:pPr>
    </w:p>
    <w:p w14:paraId="70E58410" w14:textId="1B796A99" w:rsidR="0043247C" w:rsidRPr="00EC7320" w:rsidRDefault="00CE19D6" w:rsidP="0043247C">
      <w:pPr>
        <w:jc w:val="both"/>
        <w:rPr>
          <w:b/>
        </w:rPr>
      </w:pPr>
      <w:r>
        <w:rPr>
          <w:b/>
        </w:rPr>
        <w:t>7</w:t>
      </w:r>
      <w:r w:rsidR="0043247C" w:rsidRPr="00EC7320">
        <w:rPr>
          <w:b/>
        </w:rPr>
        <w:t>.0 Off Study Criteria</w:t>
      </w:r>
    </w:p>
    <w:p w14:paraId="3008572B" w14:textId="720BF6CD" w:rsidR="0043247C" w:rsidRPr="00EC7320" w:rsidRDefault="0043247C" w:rsidP="0043247C">
      <w:pPr>
        <w:jc w:val="both"/>
      </w:pPr>
      <w:r w:rsidRPr="00EC7320">
        <w:t>Dogs will be removed from study if: a significant toxicity precluding further therapy occurs, ex post facto analysis reveals a patient did not meet eligibility criteria, owner requests withdrawal or disease progression is confirmed.  The study period is 15 weeks</w:t>
      </w:r>
      <w:r w:rsidR="00CF5798">
        <w:t xml:space="preserve"> for ca</w:t>
      </w:r>
      <w:r w:rsidR="0035466F">
        <w:t>rboplatin administration and 16</w:t>
      </w:r>
      <w:r w:rsidR="00CF5798">
        <w:t xml:space="preserve"> weeks for rapamycin administration,</w:t>
      </w:r>
      <w:r w:rsidRPr="00EC7320">
        <w:t xml:space="preserve"> with intervals of 8 weeks </w:t>
      </w:r>
      <w:r w:rsidR="00CF5798">
        <w:t xml:space="preserve">for clinical follow-up </w:t>
      </w:r>
      <w:r w:rsidRPr="00EC7320">
        <w:t>thereafter.  The off study period begins on the day of confirmation of progressive disease.</w:t>
      </w:r>
    </w:p>
    <w:p w14:paraId="13D7CE51" w14:textId="18EF65E5" w:rsidR="006F608B" w:rsidRPr="00CE19D6" w:rsidRDefault="005612E4" w:rsidP="00CE19D6">
      <w:pPr>
        <w:tabs>
          <w:tab w:val="left" w:pos="0"/>
        </w:tabs>
        <w:jc w:val="both"/>
      </w:pPr>
      <w:r w:rsidRPr="00B33834">
        <w:rPr>
          <w:b/>
        </w:rPr>
        <w:tab/>
      </w:r>
      <w:r w:rsidR="00161468" w:rsidRPr="00B33834">
        <w:t xml:space="preserve"> </w:t>
      </w:r>
    </w:p>
    <w:p w14:paraId="71750AF3" w14:textId="262E66B2" w:rsidR="006F608B" w:rsidRDefault="00CE19D6"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Pr>
          <w:b/>
        </w:rPr>
        <w:t>8</w:t>
      </w:r>
      <w:r w:rsidR="00161468" w:rsidRPr="00B33834">
        <w:rPr>
          <w:b/>
        </w:rPr>
        <w:t xml:space="preserve">.0 </w:t>
      </w:r>
      <w:r w:rsidR="006F608B">
        <w:rPr>
          <w:b/>
        </w:rPr>
        <w:t>Study Communication</w:t>
      </w:r>
      <w:r w:rsidR="00150EC4">
        <w:rPr>
          <w:b/>
        </w:rPr>
        <w:t>s</w:t>
      </w:r>
    </w:p>
    <w:p w14:paraId="474D4441" w14:textId="3F12B249" w:rsidR="006F608B" w:rsidRDefault="006F608B"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t>Communications to the Principal inve</w:t>
      </w:r>
      <w:r w:rsidR="00B7185B">
        <w:t xml:space="preserve">stigators and Trial Coordinator can be done </w:t>
      </w:r>
      <w:r w:rsidR="00C84DC1">
        <w:t>via</w:t>
      </w:r>
      <w:r w:rsidR="00B7185B">
        <w:t xml:space="preserve"> text, email and phone call. The quickest </w:t>
      </w:r>
      <w:r w:rsidR="00C84DC1">
        <w:t xml:space="preserve">and </w:t>
      </w:r>
      <w:r w:rsidR="00B7185B">
        <w:t xml:space="preserve">preferred form of communication is text. All emails for the study should include both Principal investigators and the Trial coordinator. </w:t>
      </w:r>
      <w:r w:rsidR="00C84DC1">
        <w:t>Logistical</w:t>
      </w:r>
      <w:r w:rsidR="00B7185B">
        <w:t xml:space="preserve"> questions should be directed to the Trial </w:t>
      </w:r>
      <w:r w:rsidR="00B7185B">
        <w:lastRenderedPageBreak/>
        <w:t xml:space="preserve">Coordinator. </w:t>
      </w:r>
      <w:r w:rsidR="00C84DC1">
        <w:t>Eligibility</w:t>
      </w:r>
      <w:r w:rsidR="00B7185B">
        <w:t xml:space="preserve"> questions can be directed to the Principal investigators with the Trial coordinator cc’d on all communications. </w:t>
      </w:r>
      <w:r w:rsidR="00C84DC1">
        <w:t>Reporting for Adverse Events is detailed below in section 6.0.</w:t>
      </w:r>
    </w:p>
    <w:p w14:paraId="33DEBA76" w14:textId="30103C77" w:rsidR="00B7185B" w:rsidRPr="003203E7" w:rsidRDefault="00B7185B" w:rsidP="003203E7">
      <w:pPr>
        <w:pStyle w:val="ListParagraph"/>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spacing w:after="0" w:line="240" w:lineRule="auto"/>
        <w:jc w:val="both"/>
        <w:rPr>
          <w:rFonts w:ascii="Times New Roman" w:hAnsi="Times New Roman"/>
          <w:sz w:val="24"/>
        </w:rPr>
      </w:pPr>
      <w:r w:rsidRPr="00DD0595">
        <w:rPr>
          <w:rFonts w:ascii="Times New Roman" w:hAnsi="Times New Roman"/>
          <w:sz w:val="24"/>
        </w:rPr>
        <w:t xml:space="preserve">Dr. Tim Fan: </w:t>
      </w:r>
      <w:r w:rsidR="00B977EC">
        <w:rPr>
          <w:rFonts w:ascii="Times New Roman" w:hAnsi="Times New Roman"/>
          <w:sz w:val="24"/>
        </w:rPr>
        <w:t>cell (</w:t>
      </w:r>
      <w:r w:rsidRPr="00DD0595">
        <w:rPr>
          <w:rFonts w:ascii="Times New Roman" w:hAnsi="Times New Roman"/>
          <w:sz w:val="24"/>
        </w:rPr>
        <w:t>217</w:t>
      </w:r>
      <w:r w:rsidR="00B977EC">
        <w:rPr>
          <w:rFonts w:ascii="Times New Roman" w:hAnsi="Times New Roman"/>
          <w:sz w:val="24"/>
        </w:rPr>
        <w:t>)</w:t>
      </w:r>
      <w:r w:rsidRPr="00DD0595">
        <w:rPr>
          <w:rFonts w:ascii="Times New Roman" w:hAnsi="Times New Roman"/>
          <w:sz w:val="24"/>
        </w:rPr>
        <w:t>-</w:t>
      </w:r>
      <w:r w:rsidR="00B977EC">
        <w:rPr>
          <w:rFonts w:ascii="Times New Roman" w:hAnsi="Times New Roman"/>
          <w:sz w:val="24"/>
        </w:rPr>
        <w:t>725-0573</w:t>
      </w:r>
      <w:r w:rsidR="003203E7">
        <w:rPr>
          <w:rFonts w:ascii="Times New Roman" w:hAnsi="Times New Roman"/>
          <w:sz w:val="24"/>
        </w:rPr>
        <w:t xml:space="preserve"> </w:t>
      </w:r>
      <w:r w:rsidRPr="003203E7">
        <w:rPr>
          <w:rFonts w:ascii="Times New Roman" w:hAnsi="Times New Roman"/>
        </w:rPr>
        <w:t>t-fan@illinois.edu</w:t>
      </w:r>
    </w:p>
    <w:p w14:paraId="3DEF3A44" w14:textId="0F0D9014" w:rsidR="00B7185B" w:rsidRPr="00B7185B" w:rsidRDefault="00B7185B" w:rsidP="00B7185B">
      <w:pPr>
        <w:pStyle w:val="ListParagraph"/>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spacing w:after="0" w:line="240" w:lineRule="auto"/>
        <w:jc w:val="both"/>
        <w:rPr>
          <w:rFonts w:ascii="Times New Roman" w:hAnsi="Times New Roman"/>
          <w:sz w:val="24"/>
        </w:rPr>
      </w:pPr>
      <w:r w:rsidRPr="006F608B">
        <w:rPr>
          <w:rFonts w:ascii="Times New Roman" w:hAnsi="Times New Roman"/>
        </w:rPr>
        <w:t>Christina Mazcko: (</w:t>
      </w:r>
      <w:r w:rsidR="00825AA0">
        <w:rPr>
          <w:rFonts w:ascii="Times New Roman" w:hAnsi="Times New Roman"/>
        </w:rPr>
        <w:t>240</w:t>
      </w:r>
      <w:r w:rsidRPr="006F608B">
        <w:rPr>
          <w:rFonts w:ascii="Times New Roman" w:hAnsi="Times New Roman"/>
        </w:rPr>
        <w:t xml:space="preserve">) </w:t>
      </w:r>
      <w:r w:rsidR="00825AA0">
        <w:rPr>
          <w:rFonts w:ascii="Times New Roman" w:hAnsi="Times New Roman"/>
        </w:rPr>
        <w:t>760-7094</w:t>
      </w:r>
      <w:r w:rsidRPr="006F608B">
        <w:rPr>
          <w:rFonts w:ascii="Times New Roman" w:hAnsi="Times New Roman"/>
        </w:rPr>
        <w:t>, cell (410) 562-9588</w:t>
      </w:r>
      <w:r>
        <w:rPr>
          <w:rFonts w:ascii="Times New Roman" w:hAnsi="Times New Roman"/>
        </w:rPr>
        <w:t xml:space="preserve">        </w:t>
      </w:r>
    </w:p>
    <w:p w14:paraId="68D8AF02" w14:textId="74CFCBC2" w:rsidR="00B7185B" w:rsidRPr="00B7185B" w:rsidRDefault="00B7185B" w:rsidP="00B7185B">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ind w:left="2520"/>
        <w:jc w:val="both"/>
        <w:rPr>
          <w:rFonts w:ascii="Times New Roman" w:hAnsi="Times New Roman"/>
        </w:rPr>
      </w:pPr>
      <w:r>
        <w:rPr>
          <w:rFonts w:ascii="Times New Roman" w:hAnsi="Times New Roman"/>
        </w:rPr>
        <w:tab/>
        <w:t xml:space="preserve">  </w:t>
      </w:r>
      <w:r>
        <w:rPr>
          <w:rFonts w:ascii="Times New Roman" w:hAnsi="Times New Roman"/>
        </w:rPr>
        <w:tab/>
        <w:t xml:space="preserve">                      </w:t>
      </w:r>
      <w:r w:rsidRPr="00B7185B">
        <w:rPr>
          <w:rFonts w:ascii="Times New Roman" w:hAnsi="Times New Roman"/>
        </w:rPr>
        <w:t>mazckoc@mail.nih.gov</w:t>
      </w:r>
    </w:p>
    <w:p w14:paraId="12F42A18" w14:textId="23935739" w:rsidR="00B7185B" w:rsidRPr="006F608B" w:rsidRDefault="00B7185B"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p>
    <w:p w14:paraId="4360B017" w14:textId="77777777" w:rsidR="006F608B" w:rsidRDefault="006F608B"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7128B4EC" w14:textId="77777777" w:rsidR="003203E7" w:rsidRDefault="003203E7"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3144F317" w14:textId="76C3B30B" w:rsidR="00161468" w:rsidRPr="00B33834" w:rsidRDefault="00CE19D6"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Pr>
          <w:b/>
        </w:rPr>
        <w:t>9</w:t>
      </w:r>
      <w:r w:rsidR="006F608B">
        <w:rPr>
          <w:b/>
        </w:rPr>
        <w:t xml:space="preserve">.0 </w:t>
      </w:r>
      <w:r w:rsidR="00161468" w:rsidRPr="00B33834">
        <w:rPr>
          <w:b/>
        </w:rPr>
        <w:t>Adverse Events</w:t>
      </w:r>
      <w:r w:rsidR="00161468" w:rsidRPr="00B33834">
        <w:t xml:space="preserve"> </w:t>
      </w:r>
    </w:p>
    <w:p w14:paraId="3D2E846F" w14:textId="77777777" w:rsidR="00161468" w:rsidRPr="00B33834" w:rsidRDefault="00161468" w:rsidP="00E86A64">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 xml:space="preserve">Adverse event data collection and reporting are required to ensure the safety of dogs enrolled on the study.  This data will also contribute to the assessment of toxicity profile of this new agent.  Adverse events will be reported in a routine manner at strictly enforced scheduled times during the trial, however certain adverse events must be reported in an expedited fashion to allow for possible study protocol modifications.  </w:t>
      </w:r>
      <w:r w:rsidRPr="00B33834">
        <w:rPr>
          <w:b/>
        </w:rPr>
        <w:t>Adverse Reactions (AR)</w:t>
      </w:r>
      <w:r w:rsidRPr="00B33834">
        <w:t xml:space="preserve"> are defined as any grade 1 toxicity.  </w:t>
      </w:r>
      <w:r w:rsidRPr="00B33834">
        <w:rPr>
          <w:b/>
        </w:rPr>
        <w:t>Adverse Events</w:t>
      </w:r>
      <w:r w:rsidRPr="00B33834">
        <w:t xml:space="preserve"> (AE) are defined as any expected or unexpected grade 2 or 3 toxicity, whereas a </w:t>
      </w:r>
      <w:r w:rsidRPr="00B33834">
        <w:rPr>
          <w:b/>
        </w:rPr>
        <w:t>Serious Adverse Event (SAE)</w:t>
      </w:r>
      <w:r w:rsidRPr="00B33834">
        <w:t xml:space="preserve"> is any grade 4 or 5 toxicity expected or unexpected. It is essential that each adverse event be accurately graded based on severity and based on association with new drug exposure.  All adverse events should be defined as unrelated, unlikely, possible, probable or definite(ly) associated with new agent (IND) exposure.  All adverse events should also be defined as expected (based on this protocol) or unexpected.</w:t>
      </w:r>
    </w:p>
    <w:p w14:paraId="3C9B7050"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p>
    <w:p w14:paraId="32308CAC" w14:textId="77777777" w:rsidR="00161468" w:rsidRPr="00B33834" w:rsidRDefault="00161468" w:rsidP="00161468">
      <w:pPr>
        <w:numPr>
          <w:ilvl w:val="0"/>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Pr>
          <w:b/>
        </w:rPr>
        <w:t xml:space="preserve">Adverse Reaction Reporting: </w:t>
      </w:r>
      <w:r w:rsidRPr="00B33834">
        <w:t>an Adverse Event eCRF should be created within 48 hours of the event.</w:t>
      </w:r>
    </w:p>
    <w:p w14:paraId="0B9173A3"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ind w:left="1800"/>
        <w:jc w:val="both"/>
        <w:rPr>
          <w:b/>
        </w:rPr>
      </w:pPr>
    </w:p>
    <w:p w14:paraId="21BA2EFE" w14:textId="24C9DD9F" w:rsidR="00183D6B" w:rsidRPr="00183D6B" w:rsidRDefault="00161468" w:rsidP="00183D6B">
      <w:pPr>
        <w:numPr>
          <w:ilvl w:val="0"/>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Pr>
          <w:b/>
        </w:rPr>
        <w:t xml:space="preserve">Adverse Event Reporting: </w:t>
      </w:r>
      <w:r w:rsidRPr="00B33834">
        <w:t xml:space="preserve">All Adverse Events should be reported within </w:t>
      </w:r>
      <w:r w:rsidRPr="00B33834">
        <w:rPr>
          <w:b/>
        </w:rPr>
        <w:t>24 hours</w:t>
      </w:r>
      <w:r w:rsidRPr="00B33834">
        <w:t xml:space="preserve"> by </w:t>
      </w:r>
      <w:r w:rsidR="006F608B">
        <w:t xml:space="preserve">emailing, texting or </w:t>
      </w:r>
      <w:r w:rsidRPr="00B33834">
        <w:t xml:space="preserve">calling the Principal </w:t>
      </w:r>
      <w:r w:rsidR="00C84DC1">
        <w:t>In</w:t>
      </w:r>
      <w:r w:rsidRPr="00DD0595">
        <w:t>vestigator (</w:t>
      </w:r>
      <w:r w:rsidR="009C486A">
        <w:t>Dr.</w:t>
      </w:r>
      <w:r w:rsidR="00E86A64" w:rsidRPr="00DD0595">
        <w:t xml:space="preserve"> Fan</w:t>
      </w:r>
      <w:r w:rsidR="00226948" w:rsidRPr="00DD0595">
        <w:t>) or Trial Co</w:t>
      </w:r>
      <w:r w:rsidRPr="00DD0595">
        <w:t xml:space="preserve">ordinator (Christina Mazcko). An Adverse Event eCRF should also be created within </w:t>
      </w:r>
      <w:r w:rsidRPr="00DD0595">
        <w:rPr>
          <w:b/>
        </w:rPr>
        <w:t>24 hours</w:t>
      </w:r>
      <w:r w:rsidRPr="00DD0595">
        <w:t xml:space="preserve"> of the event.  Principal Investigators or Trial Co-ordinator will notify study sponsors of all AE within 24 hours of initial reporting.</w:t>
      </w:r>
    </w:p>
    <w:p w14:paraId="4AD25CD4" w14:textId="77777777" w:rsidR="00183D6B" w:rsidRDefault="00183D6B" w:rsidP="00183D6B">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rFonts w:ascii="Times New Roman" w:hAnsi="Times New Roman"/>
        </w:rPr>
      </w:pPr>
    </w:p>
    <w:p w14:paraId="554DE96D" w14:textId="77777777" w:rsidR="00183D6B" w:rsidRPr="00183D6B" w:rsidRDefault="00E86A64" w:rsidP="00183D6B">
      <w:pPr>
        <w:numPr>
          <w:ilvl w:val="4"/>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183D6B">
        <w:rPr>
          <w:rFonts w:ascii="Times New Roman" w:hAnsi="Times New Roman"/>
        </w:rPr>
        <w:t xml:space="preserve">Dr. Tim Fan: </w:t>
      </w:r>
      <w:r w:rsidR="00B977EC" w:rsidRPr="00183D6B">
        <w:rPr>
          <w:rFonts w:ascii="Times New Roman" w:hAnsi="Times New Roman"/>
        </w:rPr>
        <w:t>cell (</w:t>
      </w:r>
      <w:r w:rsidR="00B33834" w:rsidRPr="00183D6B">
        <w:rPr>
          <w:rFonts w:ascii="Times New Roman" w:hAnsi="Times New Roman"/>
        </w:rPr>
        <w:t>217</w:t>
      </w:r>
      <w:r w:rsidR="00B977EC" w:rsidRPr="00183D6B">
        <w:rPr>
          <w:rFonts w:ascii="Times New Roman" w:hAnsi="Times New Roman"/>
        </w:rPr>
        <w:t>) 725-0573</w:t>
      </w:r>
    </w:p>
    <w:p w14:paraId="16FA29B4" w14:textId="3A14B7D2" w:rsidR="00161468" w:rsidRPr="00183D6B" w:rsidRDefault="006F608B" w:rsidP="00183D6B">
      <w:pPr>
        <w:numPr>
          <w:ilvl w:val="4"/>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183D6B">
        <w:rPr>
          <w:rFonts w:ascii="Times New Roman" w:hAnsi="Times New Roman"/>
        </w:rPr>
        <w:t xml:space="preserve">Christina </w:t>
      </w:r>
      <w:r w:rsidR="00161468" w:rsidRPr="00183D6B">
        <w:rPr>
          <w:rFonts w:ascii="Times New Roman" w:hAnsi="Times New Roman"/>
        </w:rPr>
        <w:t>Mazcko: work (</w:t>
      </w:r>
      <w:r w:rsidR="00825AA0">
        <w:rPr>
          <w:rFonts w:ascii="Times New Roman" w:hAnsi="Times New Roman"/>
        </w:rPr>
        <w:t>240</w:t>
      </w:r>
      <w:r w:rsidR="00161468" w:rsidRPr="00183D6B">
        <w:rPr>
          <w:rFonts w:ascii="Times New Roman" w:hAnsi="Times New Roman"/>
        </w:rPr>
        <w:t xml:space="preserve">) </w:t>
      </w:r>
      <w:r w:rsidR="00825AA0">
        <w:rPr>
          <w:rFonts w:ascii="Times New Roman" w:hAnsi="Times New Roman"/>
        </w:rPr>
        <w:t>760</w:t>
      </w:r>
      <w:r w:rsidR="00161468" w:rsidRPr="00183D6B">
        <w:rPr>
          <w:rFonts w:ascii="Times New Roman" w:hAnsi="Times New Roman"/>
        </w:rPr>
        <w:t>-</w:t>
      </w:r>
      <w:r w:rsidR="00825AA0">
        <w:rPr>
          <w:rFonts w:ascii="Times New Roman" w:hAnsi="Times New Roman"/>
        </w:rPr>
        <w:t>7094</w:t>
      </w:r>
      <w:r w:rsidR="00161468" w:rsidRPr="00183D6B">
        <w:rPr>
          <w:rFonts w:ascii="Times New Roman" w:hAnsi="Times New Roman"/>
        </w:rPr>
        <w:t>, cell (410) 562-9588</w:t>
      </w:r>
    </w:p>
    <w:p w14:paraId="161E9CA9"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2F6CB0B3" w14:textId="0D8411C9" w:rsidR="00161468" w:rsidRPr="00B33834" w:rsidRDefault="00161468" w:rsidP="00161468">
      <w:pPr>
        <w:numPr>
          <w:ilvl w:val="0"/>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Pr>
          <w:b/>
        </w:rPr>
        <w:t xml:space="preserve">Serious Adverse Event Reporting:  </w:t>
      </w:r>
      <w:r w:rsidRPr="00B33834">
        <w:t xml:space="preserve">a Serious Adverse Event requires </w:t>
      </w:r>
      <w:r w:rsidRPr="00B33834">
        <w:rPr>
          <w:b/>
        </w:rPr>
        <w:t>immediate contact</w:t>
      </w:r>
      <w:r w:rsidRPr="00B33834">
        <w:t xml:space="preserve"> by calling the Principal investigators</w:t>
      </w:r>
      <w:r w:rsidR="00226948">
        <w:t>.</w:t>
      </w:r>
      <w:r w:rsidRPr="00B33834">
        <w:t xml:space="preserve"> Also an Adverse Event eCRF should be created as soon as possible. It is expected that this contact should occur within 1 hour of any SAE.  Principal Investigators or Trial Co-ordinator will notify study sponsors of all SAE within 24 hours of initial reporting.</w:t>
      </w:r>
    </w:p>
    <w:p w14:paraId="77C38A6E"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23A2A223" w14:textId="33B00771"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 xml:space="preserve">Adverse effects are possible and the clinical scenarios of concern could include: vasculitis-gastrointestinal toxicity (diarrhea, anorexia, etc.), intussusception, pancreatitis, immunosuppression/infection, hypersensitivity, hyperlipidemia/hepatic dysfunction, thrombocytopenia, fever, pain, neutropenia, anemia, hyperglycemia, hypophosphotemia, rash, nephrotoxicity and death.  </w:t>
      </w:r>
      <w:r w:rsidRPr="00B33834">
        <w:rPr>
          <w:b/>
        </w:rPr>
        <w:t xml:space="preserve">This list of clinical scenarios is not exhaustive, since this is a new use and formulation of this agent, hence actual individual case management will fall to the clinical judgment of the clinicians of record at the respective VTH and CCU. </w:t>
      </w:r>
      <w:r w:rsidRPr="00B33834">
        <w:t>There are study funds allocated for adverse event management</w:t>
      </w:r>
      <w:r w:rsidR="003E1DB4">
        <w:t xml:space="preserve"> related to rapamycin exposure only</w:t>
      </w:r>
      <w:r w:rsidRPr="00B33834">
        <w:t>, two thousand dollars ($2000</w:t>
      </w:r>
      <w:r w:rsidR="00FE0DDD">
        <w:t>.00</w:t>
      </w:r>
      <w:r w:rsidRPr="00B33834">
        <w:t xml:space="preserve">) per dog.  This would fully account for all services provided in managing such events.  The window for adverse event management includes all acute and chronic toxicities evident from the start of rapamycin therapy.  If adverse events arise and unanticipated hospitalization is required then a 48-72 hour </w:t>
      </w:r>
      <w:r w:rsidRPr="00B33834">
        <w:lastRenderedPageBreak/>
        <w:t xml:space="preserve">treatment period would be appropriate to determine if a dog is to likely recover from these events.  Owners will be kept fully informed of any adverse events and their subsequent management. </w:t>
      </w:r>
      <w:r w:rsidRPr="00B33834">
        <w:rPr>
          <w:b/>
        </w:rPr>
        <w:t>Also, communication with the Principal Investigators or Trial Coordinator is required on any cases receiving care for AE or SAE.</w:t>
      </w:r>
      <w:r w:rsidRPr="00B33834">
        <w:t xml:space="preserve">  If serious adverse events occur, owners can elect euthanasia, however a necropsy is then required (</w:t>
      </w:r>
      <w:r w:rsidRPr="00B33834">
        <w:rPr>
          <w:i/>
        </w:rPr>
        <w:t xml:space="preserve">Appendix I. SOP </w:t>
      </w:r>
      <w:r w:rsidR="00D44317">
        <w:rPr>
          <w:i/>
        </w:rPr>
        <w:t>05</w:t>
      </w:r>
      <w:r w:rsidRPr="00B33834">
        <w:rPr>
          <w:i/>
        </w:rPr>
        <w:t>)</w:t>
      </w:r>
      <w:r w:rsidRPr="00B33834">
        <w:t>.  Dogs who experience adverse events may be delayed from subsequent rapamycin administration or modification in schedule or dose may be necessary before re-initiation.  A discussion between the Principal investigators and the COTC member investigators would determine if such a protocol delay or dose modification is to occur.  Some suggested guidelines for management of a patient experiencing an adverse event are defined below, again however, clinicians are at liberty to treat adverse events as clinically indicated.</w:t>
      </w:r>
    </w:p>
    <w:p w14:paraId="3132DC14"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78F34D3E" w14:textId="77777777" w:rsidR="003203E7" w:rsidRDefault="003203E7"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00C8AFAA" w14:textId="77777777" w:rsidR="00826D24" w:rsidRDefault="00826D24">
      <w:pPr>
        <w:rPr>
          <w:b/>
        </w:rPr>
      </w:pPr>
      <w:r>
        <w:rPr>
          <w:b/>
        </w:rPr>
        <w:br w:type="page"/>
      </w:r>
    </w:p>
    <w:p w14:paraId="0731AA0F" w14:textId="1CCD086B"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sidDel="00AD383E">
        <w:rPr>
          <w:b/>
        </w:rPr>
        <w:lastRenderedPageBreak/>
        <w:t>Adverse Events Clinical Management Guidelines:</w:t>
      </w:r>
    </w:p>
    <w:p w14:paraId="1755BD2B"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p>
    <w:p w14:paraId="4F46EB8B"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Pr>
          <w:b/>
        </w:rPr>
        <w:t xml:space="preserve">THE FIRST CLINICAL MANAGEMENT REQUIREMENT FOR ALL DOGS PRESENTING WITH AN ADVERSE EVENT IS TO DRAW A WHOLE BLOOD SAMPLE FOR PK ANALYSIS </w:t>
      </w:r>
      <w:r w:rsidRPr="00B33834">
        <w:rPr>
          <w:b/>
          <w:i/>
        </w:rPr>
        <w:t xml:space="preserve">(SOP02). </w:t>
      </w:r>
      <w:r w:rsidRPr="00B33834">
        <w:rPr>
          <w:b/>
        </w:rPr>
        <w:t>THIS IS REGARDLESS OF TIME IN COURSE. THIS SAMPLE SHOULD BE LABELLED WITH DATE AND TIME OF COLLECTION. THEN ADDED TO eCRF.</w:t>
      </w:r>
    </w:p>
    <w:p w14:paraId="6EC713ED"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1.</w:t>
      </w:r>
      <w:r w:rsidRPr="00B33834">
        <w:rPr>
          <w:b/>
        </w:rPr>
        <w:t xml:space="preserve"> Gastrointestinal toxicity</w:t>
      </w:r>
      <w:r w:rsidRPr="00B33834">
        <w:t>: defined as vomiting or diarrhea.</w:t>
      </w:r>
    </w:p>
    <w:p w14:paraId="66546288" w14:textId="560C0658"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 xml:space="preserve">a. </w:t>
      </w:r>
      <w:r w:rsidRPr="00B33834" w:rsidDel="00AD383E">
        <w:rPr>
          <w:b/>
        </w:rPr>
        <w:t>Cease rapamycin dosing until contact with COP PIs</w:t>
      </w:r>
      <w:r w:rsidR="003E1DB4">
        <w:rPr>
          <w:b/>
        </w:rPr>
        <w:t xml:space="preserve"> and collect whole blood for PK</w:t>
      </w:r>
    </w:p>
    <w:p w14:paraId="4E54E9ED"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ind w:left="720"/>
        <w:jc w:val="both"/>
      </w:pPr>
      <w:r w:rsidRPr="00B33834">
        <w:t>b. Vomiting-make patient NPO.  If vomiting persists administer Metoclopramide 0.4 mg/kg SQ or CRI or Cerenia 1 mg/kg SQ. If vomiting is intractable Zofran/Anzamet may be added IV/PO.</w:t>
      </w:r>
    </w:p>
    <w:p w14:paraId="2A9EFFDE"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c. Diarrhea- make patient NPO.  Add a bland diet.  Prescribe Metronidazole 10-15 mg/kg IV/PO.</w:t>
      </w:r>
    </w:p>
    <w:p w14:paraId="30CAA82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 xml:space="preserve">d. If either is protracted or severe initiate </w:t>
      </w:r>
      <w:r w:rsidRPr="00B33834" w:rsidDel="00AD383E">
        <w:t>IV fluids-crystalloids at 60-90 ml/kg/hr.</w:t>
      </w:r>
    </w:p>
    <w:p w14:paraId="69A215CB"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 xml:space="preserve">e. </w:t>
      </w:r>
      <w:r w:rsidRPr="00B33834" w:rsidDel="00AD383E">
        <w:rPr>
          <w:b/>
        </w:rPr>
        <w:t xml:space="preserve">RULE OUT </w:t>
      </w:r>
      <w:r w:rsidRPr="00B33834">
        <w:rPr>
          <w:b/>
        </w:rPr>
        <w:t>INTUSSUSCEPTION</w:t>
      </w:r>
    </w:p>
    <w:p w14:paraId="0A2AF1F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 xml:space="preserve">f. </w:t>
      </w:r>
      <w:r w:rsidRPr="00B33834">
        <w:t>A</w:t>
      </w:r>
      <w:r w:rsidRPr="00B33834" w:rsidDel="00AD383E">
        <w:t>ssess CBC and biochemical profile.</w:t>
      </w:r>
    </w:p>
    <w:p w14:paraId="2C91C682"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 xml:space="preserve">2. </w:t>
      </w:r>
      <w:r w:rsidRPr="00B33834" w:rsidDel="00AD383E">
        <w:rPr>
          <w:b/>
        </w:rPr>
        <w:t>Pancreatitis</w:t>
      </w:r>
      <w:r w:rsidRPr="00B33834" w:rsidDel="00AD383E">
        <w:t>: defined by clinical signs of abdominal pain, vomiting, anorexia, elevated amylase, lipase</w:t>
      </w:r>
    </w:p>
    <w:p w14:paraId="6F793607"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a. Assess biochemical profile</w:t>
      </w:r>
    </w:p>
    <w:p w14:paraId="181A8B5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 xml:space="preserve">b. </w:t>
      </w:r>
      <w:r w:rsidRPr="00B33834">
        <w:t xml:space="preserve">Initiate </w:t>
      </w:r>
      <w:r w:rsidRPr="00B33834" w:rsidDel="00AD383E">
        <w:t xml:space="preserve">IV fluids-crystalloids at 60-90 ml/kg/hr and if necessary colloids at </w:t>
      </w:r>
    </w:p>
    <w:p w14:paraId="4D60C93F"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5-10 ml/kg.</w:t>
      </w:r>
    </w:p>
    <w:p w14:paraId="15154FA7"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c. Treat vomiting as above</w:t>
      </w:r>
    </w:p>
    <w:p w14:paraId="6D9D845E"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d. Administer plasma transfusion</w:t>
      </w:r>
    </w:p>
    <w:p w14:paraId="4EEC0E06" w14:textId="6F11D143"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 xml:space="preserve">3. </w:t>
      </w:r>
      <w:r w:rsidRPr="00B33834">
        <w:rPr>
          <w:b/>
        </w:rPr>
        <w:t>Hypersensitivity/allergic reaction</w:t>
      </w:r>
      <w:r w:rsidRPr="00B33834">
        <w:t xml:space="preserve">: defined as wheal formation, vomiting, hypotension and/or shock.  If hypersensitivity occurs </w:t>
      </w:r>
      <w:r w:rsidR="00DD0595">
        <w:t>following oral rapamycin</w:t>
      </w:r>
      <w:r w:rsidRPr="00B33834">
        <w:t xml:space="preserve"> administration it should be terminated and the PIs contacted prior to further administration.  In the acute situation:</w:t>
      </w:r>
    </w:p>
    <w:p w14:paraId="50E2CA08"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a. Initiate shock fluid therapy at 90 ml/kg IV.</w:t>
      </w:r>
    </w:p>
    <w:p w14:paraId="276D642F"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b. Administer Benadryl 1 mg/kg IM and Dexamethasone 0.5-1 mg/kg IV.</w:t>
      </w:r>
    </w:p>
    <w:p w14:paraId="2AA9194C"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c. If clinical status does not improve, administer epinephrine.</w:t>
      </w:r>
    </w:p>
    <w:p w14:paraId="343C3142"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 xml:space="preserve">4. </w:t>
      </w:r>
      <w:r w:rsidRPr="00B33834" w:rsidDel="00AD383E">
        <w:rPr>
          <w:b/>
        </w:rPr>
        <w:t>Fever/Infection secondary to immunosuppression</w:t>
      </w:r>
      <w:r w:rsidRPr="00B33834" w:rsidDel="00AD383E">
        <w:t>: defined as &gt;104 F with lethargy</w:t>
      </w:r>
    </w:p>
    <w:p w14:paraId="043A70BF"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a. Assess CBC and culture urine/blood if indicated</w:t>
      </w:r>
    </w:p>
    <w:p w14:paraId="5103F29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 xml:space="preserve"> </w:t>
      </w:r>
      <w:r w:rsidRPr="00B33834" w:rsidDel="00AD383E">
        <w:tab/>
        <w:t xml:space="preserve">b. </w:t>
      </w:r>
      <w:r w:rsidRPr="00B33834">
        <w:t xml:space="preserve">Initiate </w:t>
      </w:r>
      <w:r w:rsidRPr="00B33834" w:rsidDel="00AD383E">
        <w:t>IV fluids-crystalloids at 60-90 ml/kg/hr</w:t>
      </w:r>
    </w:p>
    <w:p w14:paraId="1F7EE606"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c. If T &gt; 106 F or is persistent, administer NSAIDs</w:t>
      </w:r>
      <w:r w:rsidRPr="00B33834">
        <w:t xml:space="preserve"> or Tylenol</w:t>
      </w:r>
    </w:p>
    <w:p w14:paraId="624B331E"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 xml:space="preserve">5. </w:t>
      </w:r>
      <w:r w:rsidRPr="00B33834" w:rsidDel="00AD383E">
        <w:rPr>
          <w:b/>
        </w:rPr>
        <w:t>Thrombocytopenia</w:t>
      </w:r>
      <w:r w:rsidRPr="00B33834" w:rsidDel="00AD383E">
        <w:t>: platelets &lt; 50,000</w:t>
      </w:r>
    </w:p>
    <w:p w14:paraId="79F4F5E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a. Cease rapamycin dosing</w:t>
      </w:r>
    </w:p>
    <w:p w14:paraId="458B010D"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b. Assess coagulation (PT, PTT)</w:t>
      </w:r>
    </w:p>
    <w:p w14:paraId="00B4310F"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c. Administer whole blood or platelet rich plasma if clinician deems indicated</w:t>
      </w:r>
    </w:p>
    <w:p w14:paraId="1BCABE0E"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 xml:space="preserve">6. </w:t>
      </w:r>
      <w:r w:rsidRPr="00B33834">
        <w:rPr>
          <w:b/>
        </w:rPr>
        <w:t>Hyperlipidemia/Hepatic dysfunction</w:t>
      </w:r>
      <w:r w:rsidRPr="00B33834">
        <w:t>: defined as elevations in cholesterol, alkaline phosphatase, ALT, increased bile acids, icterus-that is clinically relevant</w:t>
      </w:r>
    </w:p>
    <w:p w14:paraId="4BE9DC01"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 xml:space="preserve">a. </w:t>
      </w:r>
      <w:r w:rsidRPr="00B33834" w:rsidDel="00AD383E">
        <w:t>Assess biochemical profile</w:t>
      </w:r>
      <w:r w:rsidRPr="00B33834">
        <w:t xml:space="preserve"> and coagulation (PT, PTT)</w:t>
      </w:r>
    </w:p>
    <w:p w14:paraId="65A9EB30"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tab/>
        <w:t>b. Treat vomiting, diarrhea or other clinical signs</w:t>
      </w:r>
    </w:p>
    <w:p w14:paraId="42B08A45" w14:textId="789DF08C"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ind w:left="720"/>
        <w:jc w:val="both"/>
      </w:pPr>
      <w:r w:rsidRPr="00B33834">
        <w:t>c. Administer plasma transfusion and reasses</w:t>
      </w:r>
      <w:r w:rsidR="007E476F">
        <w:t xml:space="preserve">s coagulation parameters upon </w:t>
      </w:r>
      <w:r w:rsidRPr="00B33834">
        <w:t>completion.  This can be repeated if clinically indicated and there has been some initial improvement of clotting parameters.</w:t>
      </w:r>
    </w:p>
    <w:p w14:paraId="09B5603F"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 xml:space="preserve">7. </w:t>
      </w:r>
      <w:r w:rsidRPr="00B33834" w:rsidDel="00AD383E">
        <w:rPr>
          <w:b/>
        </w:rPr>
        <w:t>Nephrotoxicity</w:t>
      </w:r>
      <w:r w:rsidRPr="00B33834" w:rsidDel="00AD383E">
        <w:t>: defined by elevations in BUN/Cr with isosthuria above baseline</w:t>
      </w:r>
    </w:p>
    <w:p w14:paraId="0E3A08F0"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rPr>
          <w:b/>
        </w:rPr>
      </w:pPr>
      <w:r w:rsidRPr="00B33834" w:rsidDel="00AD383E">
        <w:tab/>
        <w:t xml:space="preserve">a. </w:t>
      </w:r>
      <w:r w:rsidRPr="00B33834" w:rsidDel="00AD383E">
        <w:rPr>
          <w:b/>
        </w:rPr>
        <w:t>Cease rapamycin dosing until contact with COP PIs</w:t>
      </w:r>
    </w:p>
    <w:p w14:paraId="63758D91"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 xml:space="preserve">b. </w:t>
      </w:r>
      <w:r w:rsidRPr="00B33834">
        <w:t xml:space="preserve">Initiate </w:t>
      </w:r>
      <w:r w:rsidRPr="00B33834" w:rsidDel="00AD383E">
        <w:t>IV fluids-crystalloids at 60-90 ml/kg/hr if indicated</w:t>
      </w:r>
    </w:p>
    <w:p w14:paraId="2FC4DE3A" w14:textId="77777777" w:rsidR="00161468" w:rsidRPr="00B33834" w:rsidDel="00AD383E"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tab/>
        <w:t xml:space="preserve">c. Treat associated clinical signs: vomiting, nausea, anorexia, etc with appropriate </w:t>
      </w:r>
      <w:r w:rsidRPr="00B33834" w:rsidDel="00AD383E">
        <w:tab/>
      </w:r>
    </w:p>
    <w:p w14:paraId="2E8E15C9" w14:textId="77777777" w:rsidR="00161468" w:rsidRPr="00B33834" w:rsidRDefault="00161468" w:rsidP="00161468">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s>
        <w:jc w:val="both"/>
      </w:pPr>
      <w:r w:rsidRPr="00B33834" w:rsidDel="00AD383E">
        <w:lastRenderedPageBreak/>
        <w:tab/>
        <w:t>symptomatic therapy: Metoclopramide, Famotidine, Aluminum Hydroxide, etc.</w:t>
      </w:r>
    </w:p>
    <w:p w14:paraId="1BE69B23" w14:textId="77777777" w:rsidR="00161468" w:rsidRPr="00B33834" w:rsidRDefault="00161468" w:rsidP="00161468">
      <w:pPr>
        <w:jc w:val="both"/>
        <w:rPr>
          <w:b/>
        </w:rPr>
      </w:pPr>
    </w:p>
    <w:p w14:paraId="78DA3C64" w14:textId="77777777" w:rsidR="00161468" w:rsidRPr="00B33834" w:rsidRDefault="00161468" w:rsidP="00161468">
      <w:pPr>
        <w:jc w:val="both"/>
      </w:pPr>
      <w:r w:rsidRPr="00B33834">
        <w:t>The principal investigators should be kept abreast of the clinical status of any patients that undergo adverse reactions.  The Principal Investigators are available to discuss the clinical management of individual study patients as needed, please call with questions if they arise.</w:t>
      </w:r>
    </w:p>
    <w:p w14:paraId="674BCEBF" w14:textId="77777777" w:rsidR="00161468" w:rsidRPr="00B33834" w:rsidRDefault="00161468" w:rsidP="00161468">
      <w:pPr>
        <w:jc w:val="both"/>
        <w:rPr>
          <w:b/>
        </w:rPr>
      </w:pPr>
    </w:p>
    <w:p w14:paraId="6247707E" w14:textId="32362E51" w:rsidR="00161468" w:rsidRPr="00B33834" w:rsidRDefault="007E1464" w:rsidP="0066799B">
      <w:pPr>
        <w:ind w:firstLine="720"/>
        <w:jc w:val="both"/>
        <w:rPr>
          <w:b/>
        </w:rPr>
      </w:pPr>
      <w:r>
        <w:rPr>
          <w:b/>
        </w:rPr>
        <w:t>9</w:t>
      </w:r>
      <w:r w:rsidR="00161468" w:rsidRPr="00B33834">
        <w:rPr>
          <w:b/>
        </w:rPr>
        <w:t>.1 Reconciliation and Attribution of Adverse Events and Severe Adverse Events</w:t>
      </w:r>
    </w:p>
    <w:p w14:paraId="25B53ADF" w14:textId="577FB486" w:rsidR="00161468" w:rsidRPr="007E476F" w:rsidRDefault="00161468" w:rsidP="0066799B">
      <w:pPr>
        <w:ind w:left="720"/>
        <w:jc w:val="both"/>
      </w:pPr>
      <w:r w:rsidRPr="00B33834">
        <w:t>Initial reporting and coding of Adverse Events and Severe Adverse Events should be completed according to the timeline outlined in section 5.0.  Reconciliation of AE and SAE are required at two time points. The first is 7 days after initial reporting of an AE or SAE and the second within 7 days of a dog completing the study or being removed from the study. Reconciliation should be based on all available clinical data related to study patient management.  On a weekly basis t</w:t>
      </w:r>
      <w:r w:rsidR="002D1F1E" w:rsidRPr="00B33834">
        <w:t>he Trial Co</w:t>
      </w:r>
      <w:r w:rsidRPr="00B33834">
        <w:t xml:space="preserve">ordinator will conduct verification of adverse event reporting. Reconciliation of AE and SAE requires discussion between COTC investigators and Principal Investigators. </w:t>
      </w:r>
      <w:r w:rsidRPr="00B33834" w:rsidDel="00F915DD">
        <w:t xml:space="preserve"> </w:t>
      </w:r>
      <w:r w:rsidRPr="00B33834">
        <w:t xml:space="preserve">This discussion will be initiated </w:t>
      </w:r>
      <w:r w:rsidR="002D1F1E" w:rsidRPr="00B33834">
        <w:t>and coordinated by the Trial Co</w:t>
      </w:r>
      <w:r w:rsidRPr="00B33834">
        <w:t xml:space="preserve">ordinator.  Reconciliation involves re-examination of each AE or SAE in terms of severity classification, association with new agent exposure, and whether the event is expected or unexpected. It is during this reconciliation process that attributions will be assigned to each Adverse Event.  Attribution to research protocol, </w:t>
      </w:r>
      <w:r w:rsidR="00DD0595">
        <w:t>rapamycin (IND)</w:t>
      </w:r>
      <w:r w:rsidRPr="00B33834">
        <w:t>, disease or other will be assigned and agreed upon by the COTC investigator and Principal Investigators.  Attribution is defined as the following (unrelated, unlikely, possible, probably, definite).</w:t>
      </w:r>
    </w:p>
    <w:p w14:paraId="34A031C3" w14:textId="77777777" w:rsidR="00B2572E" w:rsidRPr="00B33834" w:rsidRDefault="00B2572E" w:rsidP="00161468">
      <w:pPr>
        <w:jc w:val="both"/>
        <w:rPr>
          <w:b/>
        </w:rPr>
      </w:pPr>
    </w:p>
    <w:p w14:paraId="00A1DAE3" w14:textId="3E12097D" w:rsidR="00161468" w:rsidRPr="00B33834" w:rsidRDefault="007E1464" w:rsidP="00161468">
      <w:pPr>
        <w:jc w:val="both"/>
        <w:rPr>
          <w:b/>
        </w:rPr>
      </w:pPr>
      <w:r>
        <w:rPr>
          <w:b/>
        </w:rPr>
        <w:t>10</w:t>
      </w:r>
      <w:r w:rsidR="00161468" w:rsidRPr="00B33834">
        <w:rPr>
          <w:b/>
        </w:rPr>
        <w:t>.0 Necropsy</w:t>
      </w:r>
    </w:p>
    <w:p w14:paraId="5C56F029" w14:textId="1FC4B032" w:rsidR="00161468" w:rsidRPr="00B33834" w:rsidRDefault="00161468" w:rsidP="00161468">
      <w:pPr>
        <w:jc w:val="both"/>
        <w:rPr>
          <w:color w:val="000000"/>
        </w:rPr>
      </w:pPr>
      <w:r w:rsidRPr="00B33834">
        <w:t>Necropsy is required for any dog that dies while on study.</w:t>
      </w:r>
      <w:r w:rsidRPr="00B33834">
        <w:rPr>
          <w:b/>
        </w:rPr>
        <w:t xml:space="preserve">  </w:t>
      </w:r>
      <w:r w:rsidRPr="00B33834">
        <w:t xml:space="preserve">Necropsy is encouraged in dogs that complete the study but die at a later date without having received any further therapies.  Necropsy is not required in dogs that go off study or those who receive other treatment regimes after study completion.  </w:t>
      </w:r>
      <w:r w:rsidRPr="00B33834">
        <w:rPr>
          <w:color w:val="000000"/>
        </w:rPr>
        <w:t>At death, a full necropsy (</w:t>
      </w:r>
      <w:r w:rsidRPr="00B33834">
        <w:rPr>
          <w:i/>
          <w:color w:val="000000"/>
        </w:rPr>
        <w:t xml:space="preserve">SOP </w:t>
      </w:r>
      <w:r w:rsidR="00D44317">
        <w:rPr>
          <w:i/>
          <w:color w:val="000000"/>
        </w:rPr>
        <w:t>05</w:t>
      </w:r>
      <w:r w:rsidRPr="00B33834">
        <w:rPr>
          <w:i/>
          <w:color w:val="000000"/>
        </w:rPr>
        <w:t>)</w:t>
      </w:r>
      <w:r w:rsidRPr="00B33834">
        <w:rPr>
          <w:color w:val="000000"/>
        </w:rPr>
        <w:t xml:space="preserve"> should be performed in an expedient fashion and abnormal tissues submitted for standard histopathologic analysis at the COTC member site.</w:t>
      </w:r>
    </w:p>
    <w:p w14:paraId="17C1D394" w14:textId="77777777" w:rsidR="00FA5872" w:rsidRDefault="00FA5872" w:rsidP="00161468">
      <w:pPr>
        <w:jc w:val="both"/>
        <w:rPr>
          <w:b/>
        </w:rPr>
      </w:pPr>
    </w:p>
    <w:p w14:paraId="016C887D" w14:textId="03570D3F" w:rsidR="00161468" w:rsidRPr="00B33834" w:rsidRDefault="007E1464" w:rsidP="00161468">
      <w:pPr>
        <w:jc w:val="both"/>
        <w:rPr>
          <w:b/>
        </w:rPr>
      </w:pPr>
      <w:r>
        <w:rPr>
          <w:b/>
        </w:rPr>
        <w:t>11</w:t>
      </w:r>
      <w:r w:rsidR="00161468" w:rsidRPr="00B33834">
        <w:rPr>
          <w:b/>
        </w:rPr>
        <w:t>.0 Data Reporting and Record Keeping</w:t>
      </w:r>
    </w:p>
    <w:p w14:paraId="3BBCE25A" w14:textId="77777777" w:rsidR="00161468" w:rsidRPr="00B33834" w:rsidRDefault="00161468" w:rsidP="00161468">
      <w:pPr>
        <w:jc w:val="both"/>
      </w:pPr>
      <w:r w:rsidRPr="00B33834">
        <w:rPr>
          <w:b/>
        </w:rPr>
        <w:t xml:space="preserve">Study Standards: </w:t>
      </w:r>
      <w:r w:rsidRPr="00B33834">
        <w:t xml:space="preserve">These studies are pilot studies of the safety and efficacy of oral rapamycin therapy in tumor bearing dogs.  Where practical, Good Clinical Practice standards will be followed.  </w:t>
      </w:r>
    </w:p>
    <w:p w14:paraId="5844605A" w14:textId="77777777" w:rsidR="00161468" w:rsidRPr="00B33834" w:rsidRDefault="00161468" w:rsidP="00161468">
      <w:pPr>
        <w:jc w:val="both"/>
      </w:pPr>
    </w:p>
    <w:p w14:paraId="523130D7" w14:textId="51DD710D" w:rsidR="00161468" w:rsidRPr="00B33834" w:rsidRDefault="007E1464" w:rsidP="0066799B">
      <w:pPr>
        <w:ind w:left="720"/>
        <w:jc w:val="both"/>
      </w:pPr>
      <w:r>
        <w:rPr>
          <w:b/>
        </w:rPr>
        <w:t>11</w:t>
      </w:r>
      <w:r w:rsidR="00161468" w:rsidRPr="00B33834">
        <w:rPr>
          <w:b/>
        </w:rPr>
        <w:t>.1 Reporting</w:t>
      </w:r>
      <w:r w:rsidR="00161468" w:rsidRPr="00B33834">
        <w:t xml:space="preserve">: All data will be collected and stored in C3D, an electronic clinical database. Data must be contemporaneous and submitted to C3D weekly.  Initial screening eCRFs must be completed prior the first rapamycin treatment. All adverse event reporting should be conducted as described above. Each study day and its corresponding eCRFs are listed below. The location of each eCRF within C3D is also noted. eCRF completion is required within </w:t>
      </w:r>
      <w:r w:rsidR="00161468" w:rsidRPr="00B33834">
        <w:rPr>
          <w:b/>
        </w:rPr>
        <w:t>one week of a scheduled visit</w:t>
      </w:r>
      <w:r w:rsidR="00161468" w:rsidRPr="00B33834">
        <w:t xml:space="preserve">.  Non-compliance with eCRF completion will limit further patient accrual.  All remaining patient eCRFs should be completed within one week from a patient being off study.  Complete records should be maintained on each patient within their individual COTC site VTH as per standard record keeping methods.  Any unanticipated or unknown treatment related toxicities will be reported in accordance to guidelines prescribed by the COP.  All COTC participating institutions will be made aware of adverse reactions that occur in other study sites.  Data amassed during the study period </w:t>
      </w:r>
      <w:r w:rsidR="00161468" w:rsidRPr="00B33834">
        <w:lastRenderedPageBreak/>
        <w:t xml:space="preserve">may not be disclosed to non-study participants without the written consent of the Principal investigators. </w:t>
      </w:r>
    </w:p>
    <w:p w14:paraId="442B8145" w14:textId="77777777" w:rsidR="00161468" w:rsidRPr="00B33834" w:rsidRDefault="00161468" w:rsidP="00161468">
      <w:pPr>
        <w:jc w:val="both"/>
        <w:rPr>
          <w:b/>
          <w:u w:val="single"/>
        </w:rPr>
      </w:pPr>
    </w:p>
    <w:p w14:paraId="540B13C0" w14:textId="36C43C14" w:rsidR="00161468" w:rsidRPr="00B33834" w:rsidRDefault="007E1464" w:rsidP="0066799B">
      <w:pPr>
        <w:ind w:left="720"/>
        <w:jc w:val="both"/>
      </w:pPr>
      <w:r>
        <w:rPr>
          <w:b/>
        </w:rPr>
        <w:t>11</w:t>
      </w:r>
      <w:r w:rsidR="00161468" w:rsidRPr="00B33834">
        <w:rPr>
          <w:b/>
        </w:rPr>
        <w:t>.2 Verification of C3D Data Entry</w:t>
      </w:r>
      <w:r w:rsidR="00BC3839" w:rsidRPr="00B33834">
        <w:t>: The COP Study Co</w:t>
      </w:r>
      <w:r w:rsidR="00161468" w:rsidRPr="00B33834">
        <w:t xml:space="preserve">ordinator and Principal Investigators oversee all clinical data </w:t>
      </w:r>
      <w:r w:rsidR="00BC3839" w:rsidRPr="00B33834">
        <w:t>entered into C3D.  The Study Co</w:t>
      </w:r>
      <w:r w:rsidR="00161468" w:rsidRPr="00B33834">
        <w:t>ordinator on a weekly basis performs verification of C3D data entry.  Verification is aimed to ensure data is captured accurately and fully according to protocol guidelines, entered contemporaneously and that adverse event reporting is reconciled as directed in section 5.1.</w:t>
      </w:r>
    </w:p>
    <w:p w14:paraId="031C5237" w14:textId="77777777" w:rsidR="006E394D" w:rsidRDefault="006E394D" w:rsidP="00161468">
      <w:pPr>
        <w:jc w:val="both"/>
        <w:rPr>
          <w:b/>
        </w:rPr>
      </w:pPr>
    </w:p>
    <w:p w14:paraId="7D530380" w14:textId="52B2AC4C" w:rsidR="00161468" w:rsidRPr="00B33834" w:rsidRDefault="007E1464" w:rsidP="00161468">
      <w:pPr>
        <w:jc w:val="both"/>
        <w:rPr>
          <w:b/>
        </w:rPr>
      </w:pPr>
      <w:r>
        <w:rPr>
          <w:b/>
        </w:rPr>
        <w:t>12</w:t>
      </w:r>
      <w:r w:rsidR="00161468" w:rsidRPr="00B33834">
        <w:rPr>
          <w:b/>
        </w:rPr>
        <w:t>.0 Study Drug Formulation</w:t>
      </w:r>
    </w:p>
    <w:p w14:paraId="74BA30F2" w14:textId="7D326950" w:rsidR="00161468" w:rsidRPr="00B33834" w:rsidRDefault="00161468" w:rsidP="00161468">
      <w:pPr>
        <w:jc w:val="both"/>
        <w:rPr>
          <w:b/>
        </w:rPr>
      </w:pPr>
      <w:r w:rsidRPr="00DD0595" w:rsidDel="00A65BC8">
        <w:t>R</w:t>
      </w:r>
      <w:r w:rsidRPr="00DD0595">
        <w:t xml:space="preserve">apamycin will be provided as </w:t>
      </w:r>
      <w:r w:rsidR="007332A7" w:rsidRPr="00DD0595">
        <w:t>tablet</w:t>
      </w:r>
      <w:r w:rsidR="00FE0DDD">
        <w:t>s (0.5 mg and 2.0 mg)</w:t>
      </w:r>
      <w:r w:rsidR="006E394D" w:rsidRPr="00DD0595">
        <w:t xml:space="preserve"> from </w:t>
      </w:r>
      <w:r w:rsidR="00811D8C">
        <w:t xml:space="preserve">NCI-COP </w:t>
      </w:r>
      <w:r w:rsidRPr="00DD0595">
        <w:t xml:space="preserve">with appropriate amounts for </w:t>
      </w:r>
      <w:r w:rsidR="00FE0DDD">
        <w:t xml:space="preserve">each treatment cycle (Cycles 1-4), and will be </w:t>
      </w:r>
      <w:r w:rsidR="007E476F" w:rsidRPr="00DD0595">
        <w:t>dispensed for each patient based upon body w</w:t>
      </w:r>
      <w:r w:rsidR="00DB6951" w:rsidRPr="00DD0595">
        <w:t xml:space="preserve">eight.  </w:t>
      </w:r>
    </w:p>
    <w:p w14:paraId="20E049E6" w14:textId="77777777" w:rsidR="00DD0595" w:rsidRDefault="00DD0595" w:rsidP="00161468">
      <w:pPr>
        <w:jc w:val="both"/>
        <w:rPr>
          <w:b/>
        </w:rPr>
      </w:pPr>
    </w:p>
    <w:p w14:paraId="34AC574E" w14:textId="4F9445D0" w:rsidR="00161468" w:rsidRPr="00B33834" w:rsidRDefault="007E1464" w:rsidP="00161468">
      <w:pPr>
        <w:jc w:val="both"/>
        <w:rPr>
          <w:b/>
        </w:rPr>
      </w:pPr>
      <w:r>
        <w:rPr>
          <w:b/>
        </w:rPr>
        <w:t>13</w:t>
      </w:r>
      <w:r w:rsidR="00161468" w:rsidRPr="00B33834">
        <w:rPr>
          <w:b/>
        </w:rPr>
        <w:t>.0 Study Drug Management</w:t>
      </w:r>
    </w:p>
    <w:p w14:paraId="17C8A3BD" w14:textId="60FE5AE8" w:rsidR="00161468" w:rsidRPr="00B33834" w:rsidRDefault="006F608B" w:rsidP="0066799B">
      <w:pPr>
        <w:ind w:left="720"/>
        <w:jc w:val="both"/>
      </w:pPr>
      <w:r>
        <w:rPr>
          <w:b/>
        </w:rPr>
        <w:t>1</w:t>
      </w:r>
      <w:r w:rsidR="007E1464">
        <w:rPr>
          <w:b/>
        </w:rPr>
        <w:t>3</w:t>
      </w:r>
      <w:r w:rsidR="00161468" w:rsidRPr="00B33834">
        <w:rPr>
          <w:b/>
        </w:rPr>
        <w:t>.1 Drug Storage</w:t>
      </w:r>
      <w:r w:rsidR="00161468" w:rsidRPr="00B33834">
        <w:t xml:space="preserve">: </w:t>
      </w:r>
      <w:r w:rsidR="00161468" w:rsidRPr="003A395D">
        <w:t>Study drugs are to be stored in a secured and locked location at room temperature (20-25 C)</w:t>
      </w:r>
      <w:r w:rsidR="006E394D">
        <w:t xml:space="preserve"> and protected from light</w:t>
      </w:r>
      <w:r w:rsidR="00161468" w:rsidRPr="003A395D">
        <w:t>.  Neither the investigator nor any of their designees may provide study drug to any dog not pa</w:t>
      </w:r>
      <w:r w:rsidR="006E394D">
        <w:t xml:space="preserve">rticipating in this protocol. </w:t>
      </w:r>
      <w:r w:rsidR="00161468" w:rsidRPr="003A395D">
        <w:t xml:space="preserve"> </w:t>
      </w:r>
    </w:p>
    <w:p w14:paraId="073E4681" w14:textId="77777777" w:rsidR="00161468" w:rsidRPr="00B33834" w:rsidRDefault="00161468" w:rsidP="00161468">
      <w:pPr>
        <w:jc w:val="both"/>
        <w:rPr>
          <w:b/>
        </w:rPr>
      </w:pPr>
    </w:p>
    <w:p w14:paraId="7B238938" w14:textId="11FF2BA2" w:rsidR="00161468" w:rsidRPr="00B33834" w:rsidRDefault="006F608B" w:rsidP="000A71BE">
      <w:pPr>
        <w:ind w:left="720"/>
        <w:jc w:val="both"/>
      </w:pPr>
      <w:r>
        <w:rPr>
          <w:b/>
        </w:rPr>
        <w:t>1</w:t>
      </w:r>
      <w:r w:rsidR="007E1464">
        <w:rPr>
          <w:b/>
        </w:rPr>
        <w:t>3</w:t>
      </w:r>
      <w:r w:rsidR="00161468" w:rsidRPr="00B33834">
        <w:rPr>
          <w:b/>
        </w:rPr>
        <w:t>.2 Drug Administration</w:t>
      </w:r>
      <w:r w:rsidR="00161468" w:rsidRPr="00B33834">
        <w:t xml:space="preserve">: Study medications will be dispensed to individual dogs at the dose prescribed </w:t>
      </w:r>
      <w:r w:rsidR="00286B47">
        <w:t xml:space="preserve">being 0.1 mg/kg Monday-Thursday. In the event of rapamycin intolerability, a dose reduction will be instituted, with rapamycin dosed at 0.1 mg/kg </w:t>
      </w:r>
      <w:proofErr w:type="gramStart"/>
      <w:r w:rsidR="00286B47">
        <w:t>M,W</w:t>
      </w:r>
      <w:proofErr w:type="gramEnd"/>
      <w:r w:rsidR="00286B47">
        <w:t>,F scheme</w:t>
      </w:r>
      <w:r w:rsidR="00161468" w:rsidRPr="00B33834">
        <w:t>. Rapamycin will be administered to patients in the morning following a 4-hour fast and no sooner than 1-hour prior to feeding.</w:t>
      </w:r>
    </w:p>
    <w:p w14:paraId="1D5418B1" w14:textId="77777777" w:rsidR="00161468" w:rsidRPr="00B33834" w:rsidRDefault="00161468" w:rsidP="00161468">
      <w:pPr>
        <w:jc w:val="both"/>
      </w:pPr>
    </w:p>
    <w:p w14:paraId="3E43EEC8" w14:textId="7F71CD56" w:rsidR="00161468" w:rsidRPr="00B33834" w:rsidRDefault="00161468" w:rsidP="000A71BE">
      <w:pPr>
        <w:ind w:left="720"/>
        <w:jc w:val="both"/>
      </w:pPr>
      <w:r w:rsidRPr="00B33834">
        <w:t xml:space="preserve">Owners should be instructed to monitor pets to ensure drug administration during meals.  Owners will be required to document their daily administration of rapamycin on a </w:t>
      </w:r>
      <w:r w:rsidR="0095665D">
        <w:t>client administration chart (Appendix I. 4.0)</w:t>
      </w:r>
      <w:r w:rsidR="00286B47">
        <w:t>.</w:t>
      </w:r>
      <w:r w:rsidRPr="00B33834">
        <w:t xml:space="preserve"> The owner must return the </w:t>
      </w:r>
      <w:r w:rsidRPr="00B33834">
        <w:rPr>
          <w:b/>
        </w:rPr>
        <w:t>Client Rapamycin Administration Form</w:t>
      </w:r>
      <w:r w:rsidRPr="00B33834">
        <w:t xml:space="preserve"> to the hospital on </w:t>
      </w:r>
      <w:r w:rsidR="00286B47">
        <w:t xml:space="preserve">scheduled reevaluations, being Cycle 1 on Days 11 and </w:t>
      </w:r>
      <w:r w:rsidRPr="00B33834">
        <w:t xml:space="preserve">Day </w:t>
      </w:r>
      <w:r w:rsidR="00286B47" w:rsidRPr="00B33834">
        <w:t>2</w:t>
      </w:r>
      <w:r w:rsidR="00286B47">
        <w:t>5 and Cycles 2-4 on Day 25</w:t>
      </w:r>
      <w:r w:rsidRPr="00B33834">
        <w:t xml:space="preserve">.  </w:t>
      </w:r>
    </w:p>
    <w:p w14:paraId="4F2C3623" w14:textId="77777777" w:rsidR="00161468" w:rsidRPr="00B33834" w:rsidRDefault="00161468" w:rsidP="00161468">
      <w:pPr>
        <w:jc w:val="both"/>
      </w:pPr>
    </w:p>
    <w:p w14:paraId="6E25C17E" w14:textId="1572DA2E" w:rsidR="00161468" w:rsidRPr="00B33834" w:rsidRDefault="006F608B" w:rsidP="000A71BE">
      <w:pPr>
        <w:ind w:left="720"/>
        <w:jc w:val="both"/>
      </w:pPr>
      <w:r>
        <w:rPr>
          <w:b/>
        </w:rPr>
        <w:t>1</w:t>
      </w:r>
      <w:r w:rsidR="007E1464">
        <w:rPr>
          <w:b/>
        </w:rPr>
        <w:t>3</w:t>
      </w:r>
      <w:r w:rsidR="00161468" w:rsidRPr="00B33834">
        <w:rPr>
          <w:b/>
        </w:rPr>
        <w:t xml:space="preserve">.3 Drug Reconciliation and Dose Verification: </w:t>
      </w:r>
      <w:r w:rsidR="00161468" w:rsidRPr="00753151">
        <w:t>All unused drug must be returned to the COTC institution where drug reconciliation will be performed</w:t>
      </w:r>
      <w:r w:rsidR="006E394D">
        <w:t xml:space="preserve"> weekly</w:t>
      </w:r>
      <w:r w:rsidR="00161468" w:rsidRPr="00753151">
        <w:t>.</w:t>
      </w:r>
      <w:r w:rsidR="006E394D">
        <w:t xml:space="preserve"> Any unused rapamycin should be disposed of following standard drug disposal guidelines.</w:t>
      </w:r>
      <w:r w:rsidR="00161468" w:rsidRPr="00753151">
        <w:t xml:space="preserve"> Institutions should notify NCI with any variance from expected to actual dose. Enter data into Study Medication eCRF</w:t>
      </w:r>
      <w:r w:rsidR="00BC3839" w:rsidRPr="003A395D">
        <w:t>.</w:t>
      </w:r>
      <w:r w:rsidR="006E394D">
        <w:t xml:space="preserve"> </w:t>
      </w:r>
    </w:p>
    <w:p w14:paraId="397CE460" w14:textId="77777777" w:rsidR="00161468" w:rsidRPr="00B33834" w:rsidRDefault="00161468" w:rsidP="00161468">
      <w:pPr>
        <w:jc w:val="both"/>
        <w:rPr>
          <w:b/>
        </w:rPr>
      </w:pPr>
    </w:p>
    <w:p w14:paraId="07521C68" w14:textId="25F7B609" w:rsidR="00161468" w:rsidRPr="00B33834" w:rsidRDefault="006F608B" w:rsidP="000A71BE">
      <w:pPr>
        <w:ind w:left="720"/>
        <w:jc w:val="both"/>
        <w:rPr>
          <w:i/>
        </w:rPr>
      </w:pPr>
      <w:r>
        <w:rPr>
          <w:b/>
        </w:rPr>
        <w:t>1</w:t>
      </w:r>
      <w:r w:rsidR="007E1464">
        <w:rPr>
          <w:b/>
        </w:rPr>
        <w:t>3</w:t>
      </w:r>
      <w:r w:rsidR="00161468" w:rsidRPr="00B33834">
        <w:rPr>
          <w:b/>
        </w:rPr>
        <w:t>.4 Human Contact</w:t>
      </w:r>
      <w:r w:rsidR="00161468" w:rsidRPr="00753151">
        <w:rPr>
          <w:b/>
        </w:rPr>
        <w:t xml:space="preserve">:  </w:t>
      </w:r>
      <w:r w:rsidR="00161468" w:rsidRPr="00753151">
        <w:t>While administering rapamycin to patients, clinicians/nurses and owners should wear plastic, chemotherapy gloves.  Pregnant women or those individuals who are immunosuppressed should not handle rapamycin.  If a client has concerns about their immune status, they should consult their physician prior to enrolling their dog in this clinical trial.</w:t>
      </w:r>
    </w:p>
    <w:p w14:paraId="741879FA" w14:textId="77777777" w:rsidR="00161468" w:rsidRPr="00B33834" w:rsidRDefault="00161468" w:rsidP="00161468">
      <w:pPr>
        <w:jc w:val="both"/>
        <w:rPr>
          <w:b/>
        </w:rPr>
      </w:pPr>
    </w:p>
    <w:p w14:paraId="6A0C4E80" w14:textId="60C3F92A" w:rsidR="00161468" w:rsidRPr="00B33834" w:rsidRDefault="00161468" w:rsidP="00161468">
      <w:pPr>
        <w:pStyle w:val="BodyText3"/>
        <w:jc w:val="both"/>
        <w:rPr>
          <w:b/>
          <w:u w:val="single"/>
        </w:rPr>
      </w:pPr>
      <w:r w:rsidRPr="00B33834">
        <w:rPr>
          <w:b/>
        </w:rPr>
        <w:t>1</w:t>
      </w:r>
      <w:r w:rsidR="007E1464">
        <w:rPr>
          <w:b/>
        </w:rPr>
        <w:t>4</w:t>
      </w:r>
      <w:r w:rsidRPr="00B33834">
        <w:rPr>
          <w:b/>
        </w:rPr>
        <w:t>.0 Future Use of Collected Data/Samples:</w:t>
      </w:r>
    </w:p>
    <w:p w14:paraId="752C66E1" w14:textId="77777777" w:rsidR="00161468" w:rsidRPr="00B33834" w:rsidRDefault="00161468" w:rsidP="00161468">
      <w:pPr>
        <w:jc w:val="both"/>
      </w:pPr>
    </w:p>
    <w:p w14:paraId="4373B289" w14:textId="3ACBA502" w:rsidR="00161468" w:rsidRPr="00B33834" w:rsidRDefault="002A7C9D" w:rsidP="001614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color w:val="000000"/>
        </w:rPr>
      </w:pPr>
      <w:r w:rsidRPr="00B33834">
        <w:rPr>
          <w:b/>
          <w:color w:val="000000"/>
        </w:rPr>
        <w:tab/>
      </w:r>
      <w:r w:rsidR="00161468" w:rsidRPr="00B33834">
        <w:rPr>
          <w:b/>
          <w:color w:val="000000"/>
        </w:rPr>
        <w:t>1</w:t>
      </w:r>
      <w:r w:rsidR="007E1464">
        <w:rPr>
          <w:b/>
          <w:color w:val="000000"/>
        </w:rPr>
        <w:t>4</w:t>
      </w:r>
      <w:r w:rsidR="00161468" w:rsidRPr="00B33834">
        <w:rPr>
          <w:b/>
          <w:color w:val="000000"/>
        </w:rPr>
        <w:t>.1 Biological endpoints to be assessed:</w:t>
      </w:r>
      <w:r w:rsidR="00161468" w:rsidRPr="00B33834">
        <w:rPr>
          <w:color w:val="000000"/>
        </w:rPr>
        <w:t xml:space="preserve"> </w:t>
      </w:r>
    </w:p>
    <w:p w14:paraId="489501B8" w14:textId="77777777" w:rsidR="00161468" w:rsidRPr="00B33834" w:rsidDel="00E01C23" w:rsidRDefault="00161468" w:rsidP="00161468">
      <w:pPr>
        <w:numPr>
          <w:ilvl w:val="0"/>
          <w:numId w:val="5"/>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b/>
          <w:color w:val="000000"/>
        </w:rPr>
      </w:pPr>
      <w:r w:rsidRPr="00B33834" w:rsidDel="00A65BC8">
        <w:rPr>
          <w:color w:val="000000"/>
        </w:rPr>
        <w:t>R</w:t>
      </w:r>
      <w:r w:rsidRPr="00B33834" w:rsidDel="00E01C23">
        <w:rPr>
          <w:color w:val="000000"/>
        </w:rPr>
        <w:t>apamycin pharmacokinetics via whole blood rapamycin levels</w:t>
      </w:r>
    </w:p>
    <w:p w14:paraId="35823CCB" w14:textId="77777777" w:rsidR="00161468" w:rsidRPr="00B33834" w:rsidRDefault="00161468" w:rsidP="00161468">
      <w:pPr>
        <w:pStyle w:val="BodyText3"/>
        <w:jc w:val="both"/>
        <w:rPr>
          <w:b/>
        </w:rPr>
      </w:pPr>
    </w:p>
    <w:p w14:paraId="11283119" w14:textId="77777777" w:rsidR="00161468" w:rsidRPr="00B33834" w:rsidRDefault="00161468" w:rsidP="00161468">
      <w:pPr>
        <w:ind w:left="720"/>
        <w:jc w:val="both"/>
      </w:pPr>
    </w:p>
    <w:sectPr w:rsidR="00161468" w:rsidRPr="00B33834" w:rsidSect="00B33834">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0B4D" w14:textId="77777777" w:rsidR="002655EC" w:rsidRDefault="002655EC">
      <w:r>
        <w:separator/>
      </w:r>
    </w:p>
  </w:endnote>
  <w:endnote w:type="continuationSeparator" w:id="0">
    <w:p w14:paraId="379EF485" w14:textId="77777777" w:rsidR="002655EC" w:rsidRDefault="002655EC">
      <w:r>
        <w:continuationSeparator/>
      </w:r>
    </w:p>
  </w:endnote>
  <w:endnote w:type="continuationNotice" w:id="1">
    <w:p w14:paraId="64161DCA" w14:textId="77777777" w:rsidR="002655EC" w:rsidRDefault="00265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2F8F" w14:textId="77777777" w:rsidR="00B5031B" w:rsidRDefault="00B5031B" w:rsidP="0016146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33C3">
      <w:rPr>
        <w:rStyle w:val="PageNumber"/>
        <w:noProof/>
      </w:rPr>
      <w:t>15</w:t>
    </w:r>
    <w:r>
      <w:rPr>
        <w:rStyle w:val="PageNumber"/>
      </w:rPr>
      <w:fldChar w:fldCharType="end"/>
    </w:r>
  </w:p>
  <w:p w14:paraId="04C669ED" w14:textId="77777777" w:rsidR="00B5031B" w:rsidRDefault="00B5031B" w:rsidP="001614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158C" w14:textId="77777777" w:rsidR="002655EC" w:rsidRDefault="002655EC">
      <w:r>
        <w:separator/>
      </w:r>
    </w:p>
  </w:footnote>
  <w:footnote w:type="continuationSeparator" w:id="0">
    <w:p w14:paraId="6B413835" w14:textId="77777777" w:rsidR="002655EC" w:rsidRDefault="002655EC">
      <w:r>
        <w:continuationSeparator/>
      </w:r>
    </w:p>
  </w:footnote>
  <w:footnote w:type="continuationNotice" w:id="1">
    <w:p w14:paraId="2F4F7ECF" w14:textId="77777777" w:rsidR="002655EC" w:rsidRDefault="002655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BF3"/>
    <w:multiLevelType w:val="hybridMultilevel"/>
    <w:tmpl w:val="89DC28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0102D"/>
    <w:multiLevelType w:val="hybridMultilevel"/>
    <w:tmpl w:val="944C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3956"/>
    <w:multiLevelType w:val="hybridMultilevel"/>
    <w:tmpl w:val="96E2DBD6"/>
    <w:lvl w:ilvl="0" w:tplc="00050409">
      <w:start w:val="1"/>
      <w:numFmt w:val="bullet"/>
      <w:lvlText w:val=""/>
      <w:lvlJc w:val="left"/>
      <w:pPr>
        <w:tabs>
          <w:tab w:val="num" w:pos="1440"/>
        </w:tabs>
        <w:ind w:left="1440" w:hanging="360"/>
      </w:pPr>
      <w:rPr>
        <w:rFonts w:ascii="Wingdings" w:hAnsi="Wingdings"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eastAsia="Times New Roman" w:hAnsi="Symbol" w:hint="default"/>
      </w:rPr>
    </w:lvl>
    <w:lvl w:ilvl="4" w:tplc="00030409">
      <w:start w:val="1"/>
      <w:numFmt w:val="bullet"/>
      <w:lvlText w:val="o"/>
      <w:lvlJc w:val="left"/>
      <w:pPr>
        <w:tabs>
          <w:tab w:val="num" w:pos="4320"/>
        </w:tabs>
        <w:ind w:left="4320" w:hanging="360"/>
      </w:pPr>
      <w:rPr>
        <w:rFonts w:ascii="Courier New" w:hAnsi="Courier New"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eastAsia="Times New Roman" w:hAnsi="Symbol" w:hint="default"/>
      </w:rPr>
    </w:lvl>
    <w:lvl w:ilvl="7" w:tplc="00030409">
      <w:start w:val="1"/>
      <w:numFmt w:val="bullet"/>
      <w:lvlText w:val="o"/>
      <w:lvlJc w:val="left"/>
      <w:pPr>
        <w:tabs>
          <w:tab w:val="num" w:pos="6480"/>
        </w:tabs>
        <w:ind w:left="6480" w:hanging="360"/>
      </w:pPr>
      <w:rPr>
        <w:rFonts w:ascii="Courier New" w:hAnsi="Courier New"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F684034"/>
    <w:multiLevelType w:val="hybridMultilevel"/>
    <w:tmpl w:val="A2C4D91E"/>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2A57179"/>
    <w:multiLevelType w:val="multilevel"/>
    <w:tmpl w:val="135AC518"/>
    <w:lvl w:ilvl="0">
      <w:start w:val="2"/>
      <w:numFmt w:val="decimal"/>
      <w:lvlText w:val="%1"/>
      <w:lvlJc w:val="left"/>
      <w:pPr>
        <w:ind w:left="660" w:hanging="660"/>
      </w:pPr>
      <w:rPr>
        <w:rFonts w:hint="default"/>
      </w:rPr>
    </w:lvl>
    <w:lvl w:ilvl="1">
      <w:start w:val="4"/>
      <w:numFmt w:val="decimal"/>
      <w:lvlText w:val="%1.%2"/>
      <w:lvlJc w:val="left"/>
      <w:pPr>
        <w:ind w:left="1140" w:hanging="660"/>
      </w:pPr>
      <w:rPr>
        <w:rFonts w:hint="default"/>
      </w:rPr>
    </w:lvl>
    <w:lvl w:ilvl="2">
      <w:start w:val="2"/>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14C61904"/>
    <w:multiLevelType w:val="hybridMultilevel"/>
    <w:tmpl w:val="D8A02862"/>
    <w:lvl w:ilvl="0" w:tplc="421807DC">
      <w:start w:val="1"/>
      <w:numFmt w:val="lowerLetter"/>
      <w:lvlText w:val="%1."/>
      <w:lvlJc w:val="left"/>
      <w:pPr>
        <w:ind w:left="144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D69A9"/>
    <w:multiLevelType w:val="multilevel"/>
    <w:tmpl w:val="822A21D8"/>
    <w:lvl w:ilvl="0">
      <w:start w:val="4"/>
      <w:numFmt w:val="decimal"/>
      <w:lvlText w:val="%1."/>
      <w:lvlJc w:val="left"/>
      <w:pPr>
        <w:ind w:left="360" w:hanging="360"/>
      </w:pPr>
      <w:rPr>
        <w:rFonts w:hint="default"/>
        <w:color w:val="auto"/>
      </w:rPr>
    </w:lvl>
    <w:lvl w:ilvl="1">
      <w:start w:val="3"/>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color w:val="auto"/>
      </w:rPr>
    </w:lvl>
    <w:lvl w:ilvl="3">
      <w:start w:val="1"/>
      <w:numFmt w:val="decimal"/>
      <w:lvlText w:val="%1.%2.%3.%4."/>
      <w:lvlJc w:val="left"/>
      <w:pPr>
        <w:ind w:left="5040" w:hanging="720"/>
      </w:pPr>
      <w:rPr>
        <w:rFonts w:hint="default"/>
        <w:color w:val="auto"/>
      </w:rPr>
    </w:lvl>
    <w:lvl w:ilvl="4">
      <w:start w:val="1"/>
      <w:numFmt w:val="decimal"/>
      <w:lvlText w:val="%1.%2.%3.%4.%5."/>
      <w:lvlJc w:val="left"/>
      <w:pPr>
        <w:ind w:left="6840" w:hanging="1080"/>
      </w:pPr>
      <w:rPr>
        <w:rFonts w:hint="default"/>
        <w:color w:val="auto"/>
      </w:rPr>
    </w:lvl>
    <w:lvl w:ilvl="5">
      <w:start w:val="1"/>
      <w:numFmt w:val="decimal"/>
      <w:lvlText w:val="%1.%2.%3.%4.%5.%6."/>
      <w:lvlJc w:val="left"/>
      <w:pPr>
        <w:ind w:left="8280" w:hanging="1080"/>
      </w:pPr>
      <w:rPr>
        <w:rFonts w:hint="default"/>
        <w:color w:val="auto"/>
      </w:rPr>
    </w:lvl>
    <w:lvl w:ilvl="6">
      <w:start w:val="1"/>
      <w:numFmt w:val="decimal"/>
      <w:lvlText w:val="%1.%2.%3.%4.%5.%6.%7."/>
      <w:lvlJc w:val="left"/>
      <w:pPr>
        <w:ind w:left="10080" w:hanging="1440"/>
      </w:pPr>
      <w:rPr>
        <w:rFonts w:hint="default"/>
        <w:color w:val="auto"/>
      </w:rPr>
    </w:lvl>
    <w:lvl w:ilvl="7">
      <w:start w:val="1"/>
      <w:numFmt w:val="decimal"/>
      <w:lvlText w:val="%1.%2.%3.%4.%5.%6.%7.%8."/>
      <w:lvlJc w:val="left"/>
      <w:pPr>
        <w:ind w:left="11520" w:hanging="1440"/>
      </w:pPr>
      <w:rPr>
        <w:rFonts w:hint="default"/>
        <w:color w:val="auto"/>
      </w:rPr>
    </w:lvl>
    <w:lvl w:ilvl="8">
      <w:start w:val="1"/>
      <w:numFmt w:val="decimal"/>
      <w:lvlText w:val="%1.%2.%3.%4.%5.%6.%7.%8.%9."/>
      <w:lvlJc w:val="left"/>
      <w:pPr>
        <w:ind w:left="13320" w:hanging="1800"/>
      </w:pPr>
      <w:rPr>
        <w:rFonts w:hint="default"/>
        <w:color w:val="auto"/>
      </w:rPr>
    </w:lvl>
  </w:abstractNum>
  <w:abstractNum w:abstractNumId="7" w15:restartNumberingAfterBreak="0">
    <w:nsid w:val="1D2259A0"/>
    <w:multiLevelType w:val="hybridMultilevel"/>
    <w:tmpl w:val="4E70A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15DDA"/>
    <w:multiLevelType w:val="hybridMultilevel"/>
    <w:tmpl w:val="E15E6EA4"/>
    <w:lvl w:ilvl="0" w:tplc="00050409">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1937FF"/>
    <w:multiLevelType w:val="hybridMultilevel"/>
    <w:tmpl w:val="A2F40EFA"/>
    <w:lvl w:ilvl="0" w:tplc="F342B5F6">
      <w:start w:val="1"/>
      <w:numFmt w:val="decimal"/>
      <w:lvlText w:val="%1."/>
      <w:lvlJc w:val="left"/>
      <w:pPr>
        <w:tabs>
          <w:tab w:val="num" w:pos="1080"/>
        </w:tabs>
        <w:ind w:left="1080" w:hanging="360"/>
      </w:pPr>
      <w:rPr>
        <w:rFonts w:hint="default"/>
      </w:rPr>
    </w:lvl>
    <w:lvl w:ilvl="1" w:tplc="45428BE4">
      <w:numFmt w:val="none"/>
      <w:lvlText w:val=""/>
      <w:lvlJc w:val="left"/>
      <w:pPr>
        <w:tabs>
          <w:tab w:val="num" w:pos="360"/>
        </w:tabs>
      </w:pPr>
    </w:lvl>
    <w:lvl w:ilvl="2" w:tplc="3F1A29BC">
      <w:numFmt w:val="none"/>
      <w:lvlText w:val=""/>
      <w:lvlJc w:val="left"/>
      <w:pPr>
        <w:tabs>
          <w:tab w:val="num" w:pos="360"/>
        </w:tabs>
      </w:pPr>
    </w:lvl>
    <w:lvl w:ilvl="3" w:tplc="5FAA8A4C">
      <w:numFmt w:val="none"/>
      <w:lvlText w:val=""/>
      <w:lvlJc w:val="left"/>
      <w:pPr>
        <w:tabs>
          <w:tab w:val="num" w:pos="360"/>
        </w:tabs>
      </w:pPr>
    </w:lvl>
    <w:lvl w:ilvl="4" w:tplc="181C38CC">
      <w:numFmt w:val="none"/>
      <w:lvlText w:val=""/>
      <w:lvlJc w:val="left"/>
      <w:pPr>
        <w:tabs>
          <w:tab w:val="num" w:pos="360"/>
        </w:tabs>
      </w:pPr>
    </w:lvl>
    <w:lvl w:ilvl="5" w:tplc="6A34C9E0">
      <w:numFmt w:val="none"/>
      <w:lvlText w:val=""/>
      <w:lvlJc w:val="left"/>
      <w:pPr>
        <w:tabs>
          <w:tab w:val="num" w:pos="360"/>
        </w:tabs>
      </w:pPr>
    </w:lvl>
    <w:lvl w:ilvl="6" w:tplc="22241070">
      <w:numFmt w:val="none"/>
      <w:lvlText w:val=""/>
      <w:lvlJc w:val="left"/>
      <w:pPr>
        <w:tabs>
          <w:tab w:val="num" w:pos="360"/>
        </w:tabs>
      </w:pPr>
    </w:lvl>
    <w:lvl w:ilvl="7" w:tplc="DEF882F2">
      <w:numFmt w:val="none"/>
      <w:lvlText w:val=""/>
      <w:lvlJc w:val="left"/>
      <w:pPr>
        <w:tabs>
          <w:tab w:val="num" w:pos="360"/>
        </w:tabs>
      </w:pPr>
    </w:lvl>
    <w:lvl w:ilvl="8" w:tplc="EF18257A">
      <w:numFmt w:val="none"/>
      <w:lvlText w:val=""/>
      <w:lvlJc w:val="left"/>
      <w:pPr>
        <w:tabs>
          <w:tab w:val="num" w:pos="360"/>
        </w:tabs>
      </w:pPr>
    </w:lvl>
  </w:abstractNum>
  <w:abstractNum w:abstractNumId="10" w15:restartNumberingAfterBreak="0">
    <w:nsid w:val="267166F2"/>
    <w:multiLevelType w:val="hybridMultilevel"/>
    <w:tmpl w:val="5CC43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DA7E8D"/>
    <w:multiLevelType w:val="hybridMultilevel"/>
    <w:tmpl w:val="90381F3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9026F35"/>
    <w:multiLevelType w:val="hybridMultilevel"/>
    <w:tmpl w:val="536E0EAC"/>
    <w:lvl w:ilvl="0" w:tplc="04090001">
      <w:start w:val="1"/>
      <w:numFmt w:val="bullet"/>
      <w:lvlText w:val=""/>
      <w:lvlJc w:val="left"/>
      <w:pPr>
        <w:tabs>
          <w:tab w:val="num" w:pos="1440"/>
        </w:tabs>
        <w:ind w:left="1440" w:hanging="360"/>
      </w:pPr>
      <w:rPr>
        <w:rFonts w:ascii="Symbol" w:eastAsia="Times New Roman"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1DC3502">
      <w:start w:val="4"/>
      <w:numFmt w:val="bullet"/>
      <w:lvlText w:val="-"/>
      <w:lvlJc w:val="left"/>
      <w:pPr>
        <w:tabs>
          <w:tab w:val="num" w:pos="3600"/>
        </w:tabs>
        <w:ind w:left="3600" w:hanging="360"/>
      </w:pPr>
      <w:rPr>
        <w:rFonts w:ascii="Times" w:eastAsia="Times New Roman" w:hAnsi="Times"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eastAsia="Times New Roman"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FEC2E65"/>
    <w:multiLevelType w:val="hybridMultilevel"/>
    <w:tmpl w:val="4A4E17A4"/>
    <w:lvl w:ilvl="0" w:tplc="0D885152">
      <w:start w:val="1"/>
      <w:numFmt w:val="decimal"/>
      <w:lvlText w:val="%1."/>
      <w:lvlJc w:val="left"/>
      <w:pPr>
        <w:tabs>
          <w:tab w:val="num" w:pos="1440"/>
        </w:tabs>
        <w:ind w:left="1440" w:hanging="360"/>
      </w:pPr>
      <w:rPr>
        <w:rFonts w:ascii="Times New Roman" w:hAnsi="Times New Roman" w:hint="default"/>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4" w15:restartNumberingAfterBreak="0">
    <w:nsid w:val="30043B4E"/>
    <w:multiLevelType w:val="multilevel"/>
    <w:tmpl w:val="BEBA63C0"/>
    <w:lvl w:ilvl="0">
      <w:start w:val="4"/>
      <w:numFmt w:val="decimal"/>
      <w:lvlText w:val="%1"/>
      <w:lvlJc w:val="left"/>
      <w:pPr>
        <w:ind w:left="480" w:hanging="480"/>
      </w:pPr>
      <w:rPr>
        <w:rFonts w:hint="default"/>
        <w:color w:val="auto"/>
      </w:rPr>
    </w:lvl>
    <w:lvl w:ilvl="1">
      <w:start w:val="3"/>
      <w:numFmt w:val="decimal"/>
      <w:lvlText w:val="%1.%2"/>
      <w:lvlJc w:val="left"/>
      <w:pPr>
        <w:ind w:left="1200" w:hanging="480"/>
      </w:pPr>
      <w:rPr>
        <w:rFonts w:hint="default"/>
        <w:color w:val="auto"/>
      </w:rPr>
    </w:lvl>
    <w:lvl w:ilvl="2">
      <w:start w:val="3"/>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5" w15:restartNumberingAfterBreak="0">
    <w:nsid w:val="30A025F1"/>
    <w:multiLevelType w:val="multilevel"/>
    <w:tmpl w:val="AAB677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482142C"/>
    <w:multiLevelType w:val="multilevel"/>
    <w:tmpl w:val="4A9A6AF8"/>
    <w:lvl w:ilvl="0">
      <w:start w:val="4"/>
      <w:numFmt w:val="decimal"/>
      <w:lvlText w:val="%1"/>
      <w:lvlJc w:val="left"/>
      <w:pPr>
        <w:ind w:left="460" w:hanging="460"/>
      </w:pPr>
      <w:rPr>
        <w:rFonts w:hint="default"/>
        <w:b/>
      </w:rPr>
    </w:lvl>
    <w:lvl w:ilvl="1">
      <w:start w:val="3"/>
      <w:numFmt w:val="decimal"/>
      <w:lvlText w:val="%1.%2"/>
      <w:lvlJc w:val="left"/>
      <w:pPr>
        <w:ind w:left="1000" w:hanging="46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17" w15:restartNumberingAfterBreak="0">
    <w:nsid w:val="351C3483"/>
    <w:multiLevelType w:val="multilevel"/>
    <w:tmpl w:val="6146552E"/>
    <w:lvl w:ilvl="0">
      <w:start w:val="2"/>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8" w15:restartNumberingAfterBreak="0">
    <w:nsid w:val="373C3E6D"/>
    <w:multiLevelType w:val="hybridMultilevel"/>
    <w:tmpl w:val="13446D3C"/>
    <w:lvl w:ilvl="0" w:tplc="421807DC">
      <w:start w:val="1"/>
      <w:numFmt w:val="lowerLetter"/>
      <w:lvlText w:val="%1."/>
      <w:lvlJc w:val="left"/>
      <w:pPr>
        <w:ind w:left="360" w:hanging="360"/>
      </w:pPr>
      <w:rPr>
        <w:rFonts w:cs="Times New Roman"/>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3A8B1BE1"/>
    <w:multiLevelType w:val="multilevel"/>
    <w:tmpl w:val="4A9A6AF8"/>
    <w:lvl w:ilvl="0">
      <w:start w:val="4"/>
      <w:numFmt w:val="decimal"/>
      <w:lvlText w:val="%1"/>
      <w:lvlJc w:val="left"/>
      <w:pPr>
        <w:ind w:left="460" w:hanging="460"/>
      </w:pPr>
      <w:rPr>
        <w:rFonts w:hint="default"/>
        <w:b/>
      </w:rPr>
    </w:lvl>
    <w:lvl w:ilvl="1">
      <w:start w:val="3"/>
      <w:numFmt w:val="decimal"/>
      <w:lvlText w:val="%1.%2"/>
      <w:lvlJc w:val="left"/>
      <w:pPr>
        <w:ind w:left="1000" w:hanging="46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20" w15:restartNumberingAfterBreak="0">
    <w:nsid w:val="3F39321B"/>
    <w:multiLevelType w:val="hybridMultilevel"/>
    <w:tmpl w:val="F0D8484E"/>
    <w:lvl w:ilvl="0" w:tplc="421807DC">
      <w:start w:val="1"/>
      <w:numFmt w:val="lowerLetter"/>
      <w:lvlText w:val="%1."/>
      <w:lvlJc w:val="left"/>
      <w:pPr>
        <w:ind w:left="144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16616"/>
    <w:multiLevelType w:val="multilevel"/>
    <w:tmpl w:val="72D8648E"/>
    <w:lvl w:ilvl="0">
      <w:start w:val="4"/>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33B7383"/>
    <w:multiLevelType w:val="hybridMultilevel"/>
    <w:tmpl w:val="8F10F9A8"/>
    <w:lvl w:ilvl="0" w:tplc="3D5A37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7F82E41"/>
    <w:multiLevelType w:val="multilevel"/>
    <w:tmpl w:val="7A8CACB0"/>
    <w:lvl w:ilvl="0">
      <w:start w:val="4"/>
      <w:numFmt w:val="decimal"/>
      <w:lvlText w:val="%1"/>
      <w:lvlJc w:val="left"/>
      <w:pPr>
        <w:ind w:left="480" w:hanging="480"/>
      </w:pPr>
      <w:rPr>
        <w:rFonts w:hint="default"/>
        <w:color w:val="auto"/>
      </w:rPr>
    </w:lvl>
    <w:lvl w:ilvl="1">
      <w:start w:val="3"/>
      <w:numFmt w:val="decimal"/>
      <w:lvlText w:val="%1.%2"/>
      <w:lvlJc w:val="left"/>
      <w:pPr>
        <w:ind w:left="840" w:hanging="480"/>
      </w:pPr>
      <w:rPr>
        <w:rFonts w:hint="default"/>
        <w:color w:val="auto"/>
      </w:rPr>
    </w:lvl>
    <w:lvl w:ilvl="2">
      <w:start w:val="3"/>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24" w15:restartNumberingAfterBreak="0">
    <w:nsid w:val="49E6535E"/>
    <w:multiLevelType w:val="hybridMultilevel"/>
    <w:tmpl w:val="F3F0DB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8167E6"/>
    <w:multiLevelType w:val="hybridMultilevel"/>
    <w:tmpl w:val="47B66500"/>
    <w:lvl w:ilvl="0" w:tplc="0409000F">
      <w:start w:val="1"/>
      <w:numFmt w:val="decimal"/>
      <w:lvlText w:val="%1."/>
      <w:lvlJc w:val="left"/>
      <w:pPr>
        <w:ind w:left="720" w:hanging="360"/>
      </w:pPr>
      <w:rPr>
        <w:rFonts w:cs="Times New Roman" w:hint="default"/>
      </w:rPr>
    </w:lvl>
    <w:lvl w:ilvl="1" w:tplc="421807DC">
      <w:start w:val="1"/>
      <w:numFmt w:val="lowerLetter"/>
      <w:lvlText w:val="%2."/>
      <w:lvlJc w:val="left"/>
      <w:pPr>
        <w:ind w:left="1440" w:hanging="360"/>
      </w:pPr>
      <w:rPr>
        <w:rFonts w:cs="Times New Roman"/>
        <w:b w:val="0"/>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D1F5E88"/>
    <w:multiLevelType w:val="multilevel"/>
    <w:tmpl w:val="88E06CE4"/>
    <w:lvl w:ilvl="0">
      <w:start w:val="2"/>
      <w:numFmt w:val="decimal"/>
      <w:lvlText w:val="%1"/>
      <w:lvlJc w:val="left"/>
      <w:pPr>
        <w:ind w:left="480" w:hanging="480"/>
      </w:pPr>
      <w:rPr>
        <w:rFonts w:hint="default"/>
        <w:b/>
        <w:color w:val="auto"/>
      </w:rPr>
    </w:lvl>
    <w:lvl w:ilvl="1">
      <w:start w:val="5"/>
      <w:numFmt w:val="decimal"/>
      <w:lvlText w:val="%1.%2"/>
      <w:lvlJc w:val="left"/>
      <w:pPr>
        <w:ind w:left="840" w:hanging="480"/>
      </w:pPr>
      <w:rPr>
        <w:rFonts w:hint="default"/>
        <w:b/>
        <w:color w:val="auto"/>
      </w:rPr>
    </w:lvl>
    <w:lvl w:ilvl="2">
      <w:start w:val="2"/>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27" w15:restartNumberingAfterBreak="0">
    <w:nsid w:val="541F5DB0"/>
    <w:multiLevelType w:val="hybridMultilevel"/>
    <w:tmpl w:val="F8104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A004B8"/>
    <w:multiLevelType w:val="hybridMultilevel"/>
    <w:tmpl w:val="760295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E5A31"/>
    <w:multiLevelType w:val="multilevel"/>
    <w:tmpl w:val="822A21D8"/>
    <w:lvl w:ilvl="0">
      <w:start w:val="4"/>
      <w:numFmt w:val="decimal"/>
      <w:lvlText w:val="%1."/>
      <w:lvlJc w:val="left"/>
      <w:pPr>
        <w:ind w:left="360" w:hanging="360"/>
      </w:pPr>
      <w:rPr>
        <w:rFonts w:hint="default"/>
        <w:color w:val="auto"/>
      </w:rPr>
    </w:lvl>
    <w:lvl w:ilvl="1">
      <w:start w:val="3"/>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color w:val="auto"/>
      </w:rPr>
    </w:lvl>
    <w:lvl w:ilvl="3">
      <w:start w:val="1"/>
      <w:numFmt w:val="decimal"/>
      <w:lvlText w:val="%1.%2.%3.%4."/>
      <w:lvlJc w:val="left"/>
      <w:pPr>
        <w:ind w:left="5040" w:hanging="720"/>
      </w:pPr>
      <w:rPr>
        <w:rFonts w:hint="default"/>
        <w:color w:val="auto"/>
      </w:rPr>
    </w:lvl>
    <w:lvl w:ilvl="4">
      <w:start w:val="1"/>
      <w:numFmt w:val="decimal"/>
      <w:lvlText w:val="%1.%2.%3.%4.%5."/>
      <w:lvlJc w:val="left"/>
      <w:pPr>
        <w:ind w:left="6840" w:hanging="1080"/>
      </w:pPr>
      <w:rPr>
        <w:rFonts w:hint="default"/>
        <w:color w:val="auto"/>
      </w:rPr>
    </w:lvl>
    <w:lvl w:ilvl="5">
      <w:start w:val="1"/>
      <w:numFmt w:val="decimal"/>
      <w:lvlText w:val="%1.%2.%3.%4.%5.%6."/>
      <w:lvlJc w:val="left"/>
      <w:pPr>
        <w:ind w:left="8280" w:hanging="1080"/>
      </w:pPr>
      <w:rPr>
        <w:rFonts w:hint="default"/>
        <w:color w:val="auto"/>
      </w:rPr>
    </w:lvl>
    <w:lvl w:ilvl="6">
      <w:start w:val="1"/>
      <w:numFmt w:val="decimal"/>
      <w:lvlText w:val="%1.%2.%3.%4.%5.%6.%7."/>
      <w:lvlJc w:val="left"/>
      <w:pPr>
        <w:ind w:left="10080" w:hanging="1440"/>
      </w:pPr>
      <w:rPr>
        <w:rFonts w:hint="default"/>
        <w:color w:val="auto"/>
      </w:rPr>
    </w:lvl>
    <w:lvl w:ilvl="7">
      <w:start w:val="1"/>
      <w:numFmt w:val="decimal"/>
      <w:lvlText w:val="%1.%2.%3.%4.%5.%6.%7.%8."/>
      <w:lvlJc w:val="left"/>
      <w:pPr>
        <w:ind w:left="11520" w:hanging="1440"/>
      </w:pPr>
      <w:rPr>
        <w:rFonts w:hint="default"/>
        <w:color w:val="auto"/>
      </w:rPr>
    </w:lvl>
    <w:lvl w:ilvl="8">
      <w:start w:val="1"/>
      <w:numFmt w:val="decimal"/>
      <w:lvlText w:val="%1.%2.%3.%4.%5.%6.%7.%8.%9."/>
      <w:lvlJc w:val="left"/>
      <w:pPr>
        <w:ind w:left="13320" w:hanging="1800"/>
      </w:pPr>
      <w:rPr>
        <w:rFonts w:hint="default"/>
        <w:color w:val="auto"/>
      </w:rPr>
    </w:lvl>
  </w:abstractNum>
  <w:abstractNum w:abstractNumId="30" w15:restartNumberingAfterBreak="0">
    <w:nsid w:val="591A1429"/>
    <w:multiLevelType w:val="multilevel"/>
    <w:tmpl w:val="4A9A6AF8"/>
    <w:lvl w:ilvl="0">
      <w:start w:val="4"/>
      <w:numFmt w:val="decimal"/>
      <w:lvlText w:val="%1"/>
      <w:lvlJc w:val="left"/>
      <w:pPr>
        <w:ind w:left="460" w:hanging="460"/>
      </w:pPr>
      <w:rPr>
        <w:rFonts w:hint="default"/>
        <w:b/>
      </w:rPr>
    </w:lvl>
    <w:lvl w:ilvl="1">
      <w:start w:val="3"/>
      <w:numFmt w:val="decimal"/>
      <w:lvlText w:val="%1.%2"/>
      <w:lvlJc w:val="left"/>
      <w:pPr>
        <w:ind w:left="1000" w:hanging="46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31" w15:restartNumberingAfterBreak="0">
    <w:nsid w:val="655129D2"/>
    <w:multiLevelType w:val="hybridMultilevel"/>
    <w:tmpl w:val="19366B28"/>
    <w:lvl w:ilvl="0" w:tplc="00090409">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start w:val="1"/>
      <w:numFmt w:val="bullet"/>
      <w:lvlText w:val=""/>
      <w:lvlJc w:val="left"/>
      <w:pPr>
        <w:tabs>
          <w:tab w:val="num" w:pos="2520"/>
        </w:tabs>
        <w:ind w:left="2520" w:hanging="360"/>
      </w:pPr>
      <w:rPr>
        <w:rFonts w:ascii="Symbol" w:eastAsia="Times New Roman" w:hAnsi="Symbol" w:hint="default"/>
      </w:rPr>
    </w:lvl>
    <w:lvl w:ilvl="4" w:tplc="00030409">
      <w:start w:val="1"/>
      <w:numFmt w:val="bullet"/>
      <w:lvlText w:val="o"/>
      <w:lvlJc w:val="left"/>
      <w:pPr>
        <w:tabs>
          <w:tab w:val="num" w:pos="3240"/>
        </w:tabs>
        <w:ind w:left="3240" w:hanging="360"/>
      </w:pPr>
      <w:rPr>
        <w:rFonts w:ascii="Courier New" w:hAnsi="Courier New" w:hint="default"/>
      </w:rPr>
    </w:lvl>
    <w:lvl w:ilvl="5" w:tplc="00050409">
      <w:start w:val="1"/>
      <w:numFmt w:val="bullet"/>
      <w:lvlText w:val=""/>
      <w:lvlJc w:val="left"/>
      <w:pPr>
        <w:tabs>
          <w:tab w:val="num" w:pos="3960"/>
        </w:tabs>
        <w:ind w:left="3960" w:hanging="360"/>
      </w:pPr>
      <w:rPr>
        <w:rFonts w:ascii="Wingdings" w:hAnsi="Wingdings" w:hint="default"/>
      </w:rPr>
    </w:lvl>
    <w:lvl w:ilvl="6" w:tplc="00010409">
      <w:start w:val="1"/>
      <w:numFmt w:val="bullet"/>
      <w:lvlText w:val=""/>
      <w:lvlJc w:val="left"/>
      <w:pPr>
        <w:tabs>
          <w:tab w:val="num" w:pos="4680"/>
        </w:tabs>
        <w:ind w:left="4680" w:hanging="360"/>
      </w:pPr>
      <w:rPr>
        <w:rFonts w:ascii="Symbol" w:eastAsia="Times New Roman" w:hAnsi="Symbol" w:hint="default"/>
      </w:rPr>
    </w:lvl>
    <w:lvl w:ilvl="7" w:tplc="00030409">
      <w:start w:val="1"/>
      <w:numFmt w:val="bullet"/>
      <w:lvlText w:val="o"/>
      <w:lvlJc w:val="left"/>
      <w:pPr>
        <w:tabs>
          <w:tab w:val="num" w:pos="5400"/>
        </w:tabs>
        <w:ind w:left="5400" w:hanging="360"/>
      </w:pPr>
      <w:rPr>
        <w:rFonts w:ascii="Courier New" w:hAnsi="Courier New" w:hint="default"/>
      </w:rPr>
    </w:lvl>
    <w:lvl w:ilvl="8" w:tplc="00050409">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5BB7D24"/>
    <w:multiLevelType w:val="hybridMultilevel"/>
    <w:tmpl w:val="587ABD2A"/>
    <w:lvl w:ilvl="0" w:tplc="00030409">
      <w:start w:val="1"/>
      <w:numFmt w:val="bullet"/>
      <w:lvlText w:val="o"/>
      <w:lvlJc w:val="left"/>
      <w:pPr>
        <w:tabs>
          <w:tab w:val="num" w:pos="1080"/>
        </w:tabs>
        <w:ind w:left="1080" w:hanging="360"/>
      </w:pPr>
      <w:rPr>
        <w:rFonts w:ascii="Courier New" w:hAnsi="Courier New"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eastAsia="Times New Roman" w:hAnsi="Symbol" w:hint="default"/>
      </w:rPr>
    </w:lvl>
    <w:lvl w:ilvl="4" w:tplc="00030409">
      <w:start w:val="1"/>
      <w:numFmt w:val="bullet"/>
      <w:lvlText w:val="o"/>
      <w:lvlJc w:val="left"/>
      <w:pPr>
        <w:tabs>
          <w:tab w:val="num" w:pos="4320"/>
        </w:tabs>
        <w:ind w:left="4320" w:hanging="360"/>
      </w:pPr>
      <w:rPr>
        <w:rFonts w:ascii="Courier New" w:hAnsi="Courier New"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eastAsia="Times New Roman" w:hAnsi="Symbol" w:hint="default"/>
      </w:rPr>
    </w:lvl>
    <w:lvl w:ilvl="7" w:tplc="00030409">
      <w:start w:val="1"/>
      <w:numFmt w:val="bullet"/>
      <w:lvlText w:val="o"/>
      <w:lvlJc w:val="left"/>
      <w:pPr>
        <w:tabs>
          <w:tab w:val="num" w:pos="6480"/>
        </w:tabs>
        <w:ind w:left="6480" w:hanging="360"/>
      </w:pPr>
      <w:rPr>
        <w:rFonts w:ascii="Courier New" w:hAnsi="Courier New"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E433C5"/>
    <w:multiLevelType w:val="multilevel"/>
    <w:tmpl w:val="7CB82524"/>
    <w:lvl w:ilvl="0">
      <w:start w:val="2"/>
      <w:numFmt w:val="decimal"/>
      <w:lvlText w:val="%1"/>
      <w:lvlJc w:val="left"/>
      <w:pPr>
        <w:ind w:left="660" w:hanging="660"/>
      </w:pPr>
      <w:rPr>
        <w:rFonts w:hint="default"/>
        <w:color w:val="auto"/>
      </w:rPr>
    </w:lvl>
    <w:lvl w:ilvl="1">
      <w:start w:val="4"/>
      <w:numFmt w:val="decimal"/>
      <w:lvlText w:val="%1.%2"/>
      <w:lvlJc w:val="left"/>
      <w:pPr>
        <w:ind w:left="900" w:hanging="660"/>
      </w:pPr>
      <w:rPr>
        <w:rFonts w:hint="default"/>
        <w:color w:val="auto"/>
      </w:rPr>
    </w:lvl>
    <w:lvl w:ilvl="2">
      <w:start w:val="2"/>
      <w:numFmt w:val="decimal"/>
      <w:lvlText w:val="%1.%2.%3"/>
      <w:lvlJc w:val="left"/>
      <w:pPr>
        <w:ind w:left="1200" w:hanging="720"/>
      </w:pPr>
      <w:rPr>
        <w:rFonts w:hint="default"/>
        <w:color w:val="auto"/>
      </w:rPr>
    </w:lvl>
    <w:lvl w:ilvl="3">
      <w:start w:val="2"/>
      <w:numFmt w:val="decimal"/>
      <w:lvlText w:val="%1.%2.%3.%4"/>
      <w:lvlJc w:val="left"/>
      <w:pPr>
        <w:ind w:left="1440" w:hanging="720"/>
      </w:pPr>
      <w:rPr>
        <w:rFonts w:hint="default"/>
        <w:color w:val="auto"/>
      </w:rPr>
    </w:lvl>
    <w:lvl w:ilvl="4">
      <w:start w:val="1"/>
      <w:numFmt w:val="decimal"/>
      <w:lvlText w:val="%1.%2.%3.%4.%5"/>
      <w:lvlJc w:val="left"/>
      <w:pPr>
        <w:ind w:left="2040" w:hanging="1080"/>
      </w:pPr>
      <w:rPr>
        <w:rFonts w:hint="default"/>
        <w:color w:val="auto"/>
      </w:rPr>
    </w:lvl>
    <w:lvl w:ilvl="5">
      <w:start w:val="1"/>
      <w:numFmt w:val="decimal"/>
      <w:lvlText w:val="%1.%2.%3.%4.%5.%6"/>
      <w:lvlJc w:val="left"/>
      <w:pPr>
        <w:ind w:left="2280" w:hanging="1080"/>
      </w:pPr>
      <w:rPr>
        <w:rFonts w:hint="default"/>
        <w:color w:val="auto"/>
      </w:rPr>
    </w:lvl>
    <w:lvl w:ilvl="6">
      <w:start w:val="1"/>
      <w:numFmt w:val="decimal"/>
      <w:lvlText w:val="%1.%2.%3.%4.%5.%6.%7"/>
      <w:lvlJc w:val="left"/>
      <w:pPr>
        <w:ind w:left="2880" w:hanging="1440"/>
      </w:pPr>
      <w:rPr>
        <w:rFonts w:hint="default"/>
        <w:color w:val="auto"/>
      </w:rPr>
    </w:lvl>
    <w:lvl w:ilvl="7">
      <w:start w:val="1"/>
      <w:numFmt w:val="decimal"/>
      <w:lvlText w:val="%1.%2.%3.%4.%5.%6.%7.%8"/>
      <w:lvlJc w:val="left"/>
      <w:pPr>
        <w:ind w:left="3120" w:hanging="1440"/>
      </w:pPr>
      <w:rPr>
        <w:rFonts w:hint="default"/>
        <w:color w:val="auto"/>
      </w:rPr>
    </w:lvl>
    <w:lvl w:ilvl="8">
      <w:start w:val="1"/>
      <w:numFmt w:val="decimal"/>
      <w:lvlText w:val="%1.%2.%3.%4.%5.%6.%7.%8.%9"/>
      <w:lvlJc w:val="left"/>
      <w:pPr>
        <w:ind w:left="3720" w:hanging="1800"/>
      </w:pPr>
      <w:rPr>
        <w:rFonts w:hint="default"/>
        <w:color w:val="auto"/>
      </w:rPr>
    </w:lvl>
  </w:abstractNum>
  <w:abstractNum w:abstractNumId="34" w15:restartNumberingAfterBreak="0">
    <w:nsid w:val="755222ED"/>
    <w:multiLevelType w:val="hybridMultilevel"/>
    <w:tmpl w:val="1A2A17E4"/>
    <w:lvl w:ilvl="0" w:tplc="00050409">
      <w:start w:val="1"/>
      <w:numFmt w:val="bullet"/>
      <w:lvlText w:val=""/>
      <w:lvlJc w:val="left"/>
      <w:pPr>
        <w:tabs>
          <w:tab w:val="num" w:pos="1440"/>
        </w:tabs>
        <w:ind w:left="1440" w:hanging="360"/>
      </w:pPr>
      <w:rPr>
        <w:rFonts w:ascii="Wingdings" w:hAnsi="Wingdings"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eastAsia="Times New Roman" w:hAnsi="Symbol" w:hint="default"/>
      </w:rPr>
    </w:lvl>
    <w:lvl w:ilvl="4" w:tplc="00030409">
      <w:start w:val="1"/>
      <w:numFmt w:val="bullet"/>
      <w:lvlText w:val="o"/>
      <w:lvlJc w:val="left"/>
      <w:pPr>
        <w:tabs>
          <w:tab w:val="num" w:pos="4320"/>
        </w:tabs>
        <w:ind w:left="4320" w:hanging="360"/>
      </w:pPr>
      <w:rPr>
        <w:rFonts w:ascii="Courier New" w:hAnsi="Courier New"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eastAsia="Times New Roman" w:hAnsi="Symbol" w:hint="default"/>
      </w:rPr>
    </w:lvl>
    <w:lvl w:ilvl="7" w:tplc="00030409">
      <w:start w:val="1"/>
      <w:numFmt w:val="bullet"/>
      <w:lvlText w:val="o"/>
      <w:lvlJc w:val="left"/>
      <w:pPr>
        <w:tabs>
          <w:tab w:val="num" w:pos="6480"/>
        </w:tabs>
        <w:ind w:left="6480" w:hanging="360"/>
      </w:pPr>
      <w:rPr>
        <w:rFonts w:ascii="Courier New" w:hAnsi="Courier New"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8051CFE"/>
    <w:multiLevelType w:val="multilevel"/>
    <w:tmpl w:val="88E06CE4"/>
    <w:lvl w:ilvl="0">
      <w:start w:val="2"/>
      <w:numFmt w:val="decimal"/>
      <w:lvlText w:val="%1"/>
      <w:lvlJc w:val="left"/>
      <w:pPr>
        <w:ind w:left="480" w:hanging="480"/>
      </w:pPr>
      <w:rPr>
        <w:rFonts w:hint="default"/>
        <w:b/>
        <w:color w:val="auto"/>
      </w:rPr>
    </w:lvl>
    <w:lvl w:ilvl="1">
      <w:start w:val="5"/>
      <w:numFmt w:val="decimal"/>
      <w:lvlText w:val="%1.%2"/>
      <w:lvlJc w:val="left"/>
      <w:pPr>
        <w:ind w:left="840" w:hanging="480"/>
      </w:pPr>
      <w:rPr>
        <w:rFonts w:hint="default"/>
        <w:b/>
        <w:color w:val="auto"/>
      </w:rPr>
    </w:lvl>
    <w:lvl w:ilvl="2">
      <w:start w:val="2"/>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num w:numId="1" w16cid:durableId="812406582">
    <w:abstractNumId w:val="12"/>
  </w:num>
  <w:num w:numId="2" w16cid:durableId="510805058">
    <w:abstractNumId w:val="34"/>
  </w:num>
  <w:num w:numId="3" w16cid:durableId="1906797651">
    <w:abstractNumId w:val="31"/>
  </w:num>
  <w:num w:numId="4" w16cid:durableId="1348286461">
    <w:abstractNumId w:val="13"/>
  </w:num>
  <w:num w:numId="5" w16cid:durableId="187842262">
    <w:abstractNumId w:val="8"/>
  </w:num>
  <w:num w:numId="6" w16cid:durableId="926428835">
    <w:abstractNumId w:val="2"/>
  </w:num>
  <w:num w:numId="7" w16cid:durableId="675352500">
    <w:abstractNumId w:val="32"/>
  </w:num>
  <w:num w:numId="8" w16cid:durableId="1583829968">
    <w:abstractNumId w:val="9"/>
  </w:num>
  <w:num w:numId="9" w16cid:durableId="438525846">
    <w:abstractNumId w:val="17"/>
  </w:num>
  <w:num w:numId="10" w16cid:durableId="290941779">
    <w:abstractNumId w:val="15"/>
  </w:num>
  <w:num w:numId="11" w16cid:durableId="9994565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4227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8712611">
    <w:abstractNumId w:val="25"/>
  </w:num>
  <w:num w:numId="14" w16cid:durableId="903177580">
    <w:abstractNumId w:val="26"/>
  </w:num>
  <w:num w:numId="15" w16cid:durableId="2005084753">
    <w:abstractNumId w:val="5"/>
  </w:num>
  <w:num w:numId="16" w16cid:durableId="2044596156">
    <w:abstractNumId w:val="20"/>
  </w:num>
  <w:num w:numId="17" w16cid:durableId="21133346">
    <w:abstractNumId w:val="18"/>
  </w:num>
  <w:num w:numId="18" w16cid:durableId="1256943076">
    <w:abstractNumId w:val="22"/>
  </w:num>
  <w:num w:numId="19" w16cid:durableId="556471942">
    <w:abstractNumId w:val="3"/>
  </w:num>
  <w:num w:numId="20" w16cid:durableId="518469392">
    <w:abstractNumId w:val="0"/>
  </w:num>
  <w:num w:numId="21" w16cid:durableId="146867218">
    <w:abstractNumId w:val="11"/>
  </w:num>
  <w:num w:numId="22" w16cid:durableId="1993173698">
    <w:abstractNumId w:val="27"/>
  </w:num>
  <w:num w:numId="23" w16cid:durableId="689451556">
    <w:abstractNumId w:val="28"/>
  </w:num>
  <w:num w:numId="24" w16cid:durableId="263651577">
    <w:abstractNumId w:val="10"/>
  </w:num>
  <w:num w:numId="25" w16cid:durableId="1083912981">
    <w:abstractNumId w:val="33"/>
  </w:num>
  <w:num w:numId="26" w16cid:durableId="413211346">
    <w:abstractNumId w:val="4"/>
  </w:num>
  <w:num w:numId="27" w16cid:durableId="1308509724">
    <w:abstractNumId w:val="21"/>
  </w:num>
  <w:num w:numId="28" w16cid:durableId="506092438">
    <w:abstractNumId w:val="24"/>
  </w:num>
  <w:num w:numId="29" w16cid:durableId="1595742290">
    <w:abstractNumId w:val="30"/>
  </w:num>
  <w:num w:numId="30" w16cid:durableId="694617919">
    <w:abstractNumId w:val="19"/>
  </w:num>
  <w:num w:numId="31" w16cid:durableId="2077588416">
    <w:abstractNumId w:val="16"/>
  </w:num>
  <w:num w:numId="32" w16cid:durableId="169957479">
    <w:abstractNumId w:val="35"/>
  </w:num>
  <w:num w:numId="33" w16cid:durableId="1967194990">
    <w:abstractNumId w:val="29"/>
  </w:num>
  <w:num w:numId="34" w16cid:durableId="1521354755">
    <w:abstractNumId w:val="23"/>
  </w:num>
  <w:num w:numId="35" w16cid:durableId="1950820357">
    <w:abstractNumId w:val="14"/>
  </w:num>
  <w:num w:numId="36" w16cid:durableId="2135907302">
    <w:abstractNumId w:val="6"/>
  </w:num>
  <w:num w:numId="37" w16cid:durableId="1182823068">
    <w:abstractNumId w:val="1"/>
  </w:num>
  <w:num w:numId="38" w16cid:durableId="2010130137">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17"/>
    <w:rsid w:val="0000129D"/>
    <w:rsid w:val="00001E05"/>
    <w:rsid w:val="00010951"/>
    <w:rsid w:val="00023C06"/>
    <w:rsid w:val="00024171"/>
    <w:rsid w:val="00043349"/>
    <w:rsid w:val="00075A78"/>
    <w:rsid w:val="00075AFC"/>
    <w:rsid w:val="00095707"/>
    <w:rsid w:val="000966B2"/>
    <w:rsid w:val="000A25F0"/>
    <w:rsid w:val="000A71BE"/>
    <w:rsid w:val="000A7E0D"/>
    <w:rsid w:val="000C37B3"/>
    <w:rsid w:val="001200D9"/>
    <w:rsid w:val="00121037"/>
    <w:rsid w:val="00130287"/>
    <w:rsid w:val="00150EC4"/>
    <w:rsid w:val="00154DF0"/>
    <w:rsid w:val="00161468"/>
    <w:rsid w:val="001614DA"/>
    <w:rsid w:val="00173F45"/>
    <w:rsid w:val="00181575"/>
    <w:rsid w:val="00181CA4"/>
    <w:rsid w:val="00183D6B"/>
    <w:rsid w:val="001A47CB"/>
    <w:rsid w:val="001A621C"/>
    <w:rsid w:val="001A714E"/>
    <w:rsid w:val="001B1BB3"/>
    <w:rsid w:val="001C3EF2"/>
    <w:rsid w:val="001C78FD"/>
    <w:rsid w:val="001D788A"/>
    <w:rsid w:val="00203429"/>
    <w:rsid w:val="00213E49"/>
    <w:rsid w:val="00224FF8"/>
    <w:rsid w:val="00226948"/>
    <w:rsid w:val="00237F22"/>
    <w:rsid w:val="00240C5E"/>
    <w:rsid w:val="002655EC"/>
    <w:rsid w:val="00271C60"/>
    <w:rsid w:val="0027717A"/>
    <w:rsid w:val="00286B47"/>
    <w:rsid w:val="0029571C"/>
    <w:rsid w:val="002A064E"/>
    <w:rsid w:val="002A7C9D"/>
    <w:rsid w:val="002B220B"/>
    <w:rsid w:val="002D1F1E"/>
    <w:rsid w:val="002D690A"/>
    <w:rsid w:val="002E25F4"/>
    <w:rsid w:val="00302FAF"/>
    <w:rsid w:val="003203E7"/>
    <w:rsid w:val="003243B3"/>
    <w:rsid w:val="00324907"/>
    <w:rsid w:val="00325112"/>
    <w:rsid w:val="00336D1E"/>
    <w:rsid w:val="003454F3"/>
    <w:rsid w:val="003533C3"/>
    <w:rsid w:val="0035466F"/>
    <w:rsid w:val="00355A2D"/>
    <w:rsid w:val="00356B32"/>
    <w:rsid w:val="00373461"/>
    <w:rsid w:val="003836E5"/>
    <w:rsid w:val="00386A46"/>
    <w:rsid w:val="00397D02"/>
    <w:rsid w:val="003A395D"/>
    <w:rsid w:val="003B570E"/>
    <w:rsid w:val="003B5777"/>
    <w:rsid w:val="003B6ABB"/>
    <w:rsid w:val="003C43CF"/>
    <w:rsid w:val="003D3DF2"/>
    <w:rsid w:val="003E1DB4"/>
    <w:rsid w:val="003E321F"/>
    <w:rsid w:val="00412F0C"/>
    <w:rsid w:val="00414D19"/>
    <w:rsid w:val="00416181"/>
    <w:rsid w:val="00416C99"/>
    <w:rsid w:val="0043247C"/>
    <w:rsid w:val="00441783"/>
    <w:rsid w:val="00444ACE"/>
    <w:rsid w:val="0044596E"/>
    <w:rsid w:val="004469FD"/>
    <w:rsid w:val="00447CED"/>
    <w:rsid w:val="00470A46"/>
    <w:rsid w:val="004804F5"/>
    <w:rsid w:val="00490BD7"/>
    <w:rsid w:val="004A413E"/>
    <w:rsid w:val="004B035C"/>
    <w:rsid w:val="004B3970"/>
    <w:rsid w:val="004E1554"/>
    <w:rsid w:val="004F3828"/>
    <w:rsid w:val="004F4F7C"/>
    <w:rsid w:val="00500B4B"/>
    <w:rsid w:val="0051006B"/>
    <w:rsid w:val="00535585"/>
    <w:rsid w:val="00540A44"/>
    <w:rsid w:val="0055044A"/>
    <w:rsid w:val="00554DF0"/>
    <w:rsid w:val="005612E4"/>
    <w:rsid w:val="00567BA0"/>
    <w:rsid w:val="00583B94"/>
    <w:rsid w:val="00594240"/>
    <w:rsid w:val="005A310D"/>
    <w:rsid w:val="005A4F3F"/>
    <w:rsid w:val="005C00D6"/>
    <w:rsid w:val="005C7061"/>
    <w:rsid w:val="005D309D"/>
    <w:rsid w:val="005E0DB9"/>
    <w:rsid w:val="005E3046"/>
    <w:rsid w:val="005F0814"/>
    <w:rsid w:val="00602717"/>
    <w:rsid w:val="00605AD4"/>
    <w:rsid w:val="006303BC"/>
    <w:rsid w:val="00645CE9"/>
    <w:rsid w:val="0065072D"/>
    <w:rsid w:val="00655818"/>
    <w:rsid w:val="00666958"/>
    <w:rsid w:val="0066799B"/>
    <w:rsid w:val="006701A5"/>
    <w:rsid w:val="00673701"/>
    <w:rsid w:val="006A1B4E"/>
    <w:rsid w:val="006A577E"/>
    <w:rsid w:val="006A6761"/>
    <w:rsid w:val="006B1E39"/>
    <w:rsid w:val="006E394D"/>
    <w:rsid w:val="006F608B"/>
    <w:rsid w:val="00714DC2"/>
    <w:rsid w:val="00715331"/>
    <w:rsid w:val="007170D4"/>
    <w:rsid w:val="0072399A"/>
    <w:rsid w:val="00730669"/>
    <w:rsid w:val="007332A7"/>
    <w:rsid w:val="007437B4"/>
    <w:rsid w:val="00746CA4"/>
    <w:rsid w:val="00753151"/>
    <w:rsid w:val="007771B8"/>
    <w:rsid w:val="00780E90"/>
    <w:rsid w:val="007821E4"/>
    <w:rsid w:val="007A1B4B"/>
    <w:rsid w:val="007B7726"/>
    <w:rsid w:val="007D1587"/>
    <w:rsid w:val="007D3A0C"/>
    <w:rsid w:val="007D5D00"/>
    <w:rsid w:val="007D6C06"/>
    <w:rsid w:val="007D7F5D"/>
    <w:rsid w:val="007E1464"/>
    <w:rsid w:val="007E3997"/>
    <w:rsid w:val="007E476F"/>
    <w:rsid w:val="007F3D52"/>
    <w:rsid w:val="008031A2"/>
    <w:rsid w:val="008041AE"/>
    <w:rsid w:val="00811D8C"/>
    <w:rsid w:val="00825AA0"/>
    <w:rsid w:val="00826D24"/>
    <w:rsid w:val="008357B8"/>
    <w:rsid w:val="00852E3C"/>
    <w:rsid w:val="00854FA1"/>
    <w:rsid w:val="00887F3C"/>
    <w:rsid w:val="008923C4"/>
    <w:rsid w:val="00892413"/>
    <w:rsid w:val="008945D0"/>
    <w:rsid w:val="00897CB2"/>
    <w:rsid w:val="008B7E84"/>
    <w:rsid w:val="008D5B14"/>
    <w:rsid w:val="008E79A6"/>
    <w:rsid w:val="008F0B4D"/>
    <w:rsid w:val="00923649"/>
    <w:rsid w:val="009368A3"/>
    <w:rsid w:val="00955E19"/>
    <w:rsid w:val="009560E4"/>
    <w:rsid w:val="0095665D"/>
    <w:rsid w:val="009C486A"/>
    <w:rsid w:val="009D28B4"/>
    <w:rsid w:val="009F042A"/>
    <w:rsid w:val="009F087F"/>
    <w:rsid w:val="00A1328A"/>
    <w:rsid w:val="00A44CB0"/>
    <w:rsid w:val="00A469D5"/>
    <w:rsid w:val="00A60A5B"/>
    <w:rsid w:val="00A6596F"/>
    <w:rsid w:val="00A76FFD"/>
    <w:rsid w:val="00A808DA"/>
    <w:rsid w:val="00A82632"/>
    <w:rsid w:val="00AA186E"/>
    <w:rsid w:val="00AC35E2"/>
    <w:rsid w:val="00AC3C9D"/>
    <w:rsid w:val="00AC55FA"/>
    <w:rsid w:val="00AD107E"/>
    <w:rsid w:val="00AD3214"/>
    <w:rsid w:val="00AF3BF1"/>
    <w:rsid w:val="00B02FF2"/>
    <w:rsid w:val="00B0783D"/>
    <w:rsid w:val="00B1003B"/>
    <w:rsid w:val="00B11B1C"/>
    <w:rsid w:val="00B13D21"/>
    <w:rsid w:val="00B2572E"/>
    <w:rsid w:val="00B33834"/>
    <w:rsid w:val="00B37AFD"/>
    <w:rsid w:val="00B5031B"/>
    <w:rsid w:val="00B64B7A"/>
    <w:rsid w:val="00B64E29"/>
    <w:rsid w:val="00B7185B"/>
    <w:rsid w:val="00B977EC"/>
    <w:rsid w:val="00BB11AB"/>
    <w:rsid w:val="00BB4FC8"/>
    <w:rsid w:val="00BB55D9"/>
    <w:rsid w:val="00BB77F3"/>
    <w:rsid w:val="00BC28F6"/>
    <w:rsid w:val="00BC3839"/>
    <w:rsid w:val="00C16515"/>
    <w:rsid w:val="00C17693"/>
    <w:rsid w:val="00C44FDC"/>
    <w:rsid w:val="00C50775"/>
    <w:rsid w:val="00C84DC1"/>
    <w:rsid w:val="00C87F46"/>
    <w:rsid w:val="00C94AC3"/>
    <w:rsid w:val="00C97FC8"/>
    <w:rsid w:val="00CD1E6A"/>
    <w:rsid w:val="00CE19D6"/>
    <w:rsid w:val="00CF5798"/>
    <w:rsid w:val="00D00468"/>
    <w:rsid w:val="00D00AEF"/>
    <w:rsid w:val="00D02244"/>
    <w:rsid w:val="00D02B84"/>
    <w:rsid w:val="00D21EDB"/>
    <w:rsid w:val="00D257F7"/>
    <w:rsid w:val="00D356DF"/>
    <w:rsid w:val="00D35A38"/>
    <w:rsid w:val="00D44317"/>
    <w:rsid w:val="00D75A14"/>
    <w:rsid w:val="00D77E59"/>
    <w:rsid w:val="00D90C19"/>
    <w:rsid w:val="00D95D20"/>
    <w:rsid w:val="00DB2BF6"/>
    <w:rsid w:val="00DB6951"/>
    <w:rsid w:val="00DB6A05"/>
    <w:rsid w:val="00DC0AF9"/>
    <w:rsid w:val="00DC4656"/>
    <w:rsid w:val="00DD0595"/>
    <w:rsid w:val="00DD7047"/>
    <w:rsid w:val="00E0531F"/>
    <w:rsid w:val="00E242D2"/>
    <w:rsid w:val="00E27B41"/>
    <w:rsid w:val="00E32F26"/>
    <w:rsid w:val="00E54183"/>
    <w:rsid w:val="00E62939"/>
    <w:rsid w:val="00E637DD"/>
    <w:rsid w:val="00E86A64"/>
    <w:rsid w:val="00E86ABB"/>
    <w:rsid w:val="00E91D64"/>
    <w:rsid w:val="00EA40B2"/>
    <w:rsid w:val="00EC45D9"/>
    <w:rsid w:val="00EC6588"/>
    <w:rsid w:val="00EE4388"/>
    <w:rsid w:val="00F00440"/>
    <w:rsid w:val="00F02BB1"/>
    <w:rsid w:val="00F04A97"/>
    <w:rsid w:val="00F07D6F"/>
    <w:rsid w:val="00F17DE7"/>
    <w:rsid w:val="00F256B6"/>
    <w:rsid w:val="00F317A1"/>
    <w:rsid w:val="00F36DFD"/>
    <w:rsid w:val="00F46EA5"/>
    <w:rsid w:val="00F52D01"/>
    <w:rsid w:val="00F57223"/>
    <w:rsid w:val="00F57B14"/>
    <w:rsid w:val="00F60E9D"/>
    <w:rsid w:val="00F67685"/>
    <w:rsid w:val="00F8492C"/>
    <w:rsid w:val="00F853B8"/>
    <w:rsid w:val="00FA5872"/>
    <w:rsid w:val="00FB7014"/>
    <w:rsid w:val="00FD1F90"/>
    <w:rsid w:val="00FE0D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141F4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908"/>
    <w:rPr>
      <w:rFonts w:ascii="Times" w:hAnsi="Times"/>
      <w:sz w:val="24"/>
      <w:szCs w:val="24"/>
    </w:rPr>
  </w:style>
  <w:style w:type="paragraph" w:styleId="Heading1">
    <w:name w:val="heading 1"/>
    <w:basedOn w:val="Normal"/>
    <w:next w:val="Normal"/>
    <w:qFormat/>
    <w:rsid w:val="003E6AED"/>
    <w:pPr>
      <w:keepNext/>
      <w:outlineLvl w:val="0"/>
    </w:pPr>
    <w:rPr>
      <w:b/>
    </w:rPr>
  </w:style>
  <w:style w:type="paragraph" w:styleId="Heading2">
    <w:name w:val="heading 2"/>
    <w:basedOn w:val="Normal"/>
    <w:next w:val="Normal"/>
    <w:qFormat/>
    <w:rsid w:val="003E6AED"/>
    <w:pPr>
      <w:keepNext/>
      <w:spacing w:before="240" w:after="60"/>
      <w:outlineLvl w:val="1"/>
    </w:pPr>
    <w:rPr>
      <w:rFonts w:ascii="Arial" w:hAnsi="Arial"/>
      <w:b/>
      <w:i/>
      <w:sz w:val="28"/>
      <w:szCs w:val="28"/>
    </w:rPr>
  </w:style>
  <w:style w:type="paragraph" w:styleId="Heading3">
    <w:name w:val="heading 3"/>
    <w:basedOn w:val="Normal"/>
    <w:next w:val="Normal"/>
    <w:qFormat/>
    <w:rsid w:val="003E6AED"/>
    <w:pPr>
      <w:keepNext/>
      <w:jc w:val="center"/>
      <w:outlineLvl w:val="2"/>
    </w:pPr>
    <w:rPr>
      <w:b/>
    </w:rPr>
  </w:style>
  <w:style w:type="paragraph" w:styleId="Heading4">
    <w:name w:val="heading 4"/>
    <w:basedOn w:val="Normal"/>
    <w:next w:val="Normal"/>
    <w:qFormat/>
    <w:rsid w:val="003E6AED"/>
    <w:pPr>
      <w:keepNext/>
      <w:spacing w:before="240" w:after="60"/>
      <w:outlineLvl w:val="3"/>
    </w:pPr>
    <w:rPr>
      <w:b/>
      <w:sz w:val="28"/>
      <w:szCs w:val="28"/>
    </w:rPr>
  </w:style>
  <w:style w:type="paragraph" w:styleId="Heading5">
    <w:name w:val="heading 5"/>
    <w:basedOn w:val="Normal"/>
    <w:next w:val="Normal"/>
    <w:qFormat/>
    <w:rsid w:val="003E6AED"/>
    <w:pPr>
      <w:spacing w:before="240" w:after="60"/>
      <w:outlineLvl w:val="4"/>
    </w:pPr>
    <w:rPr>
      <w:b/>
      <w:i/>
      <w:sz w:val="26"/>
      <w:szCs w:val="26"/>
    </w:rPr>
  </w:style>
  <w:style w:type="paragraph" w:styleId="Heading6">
    <w:name w:val="heading 6"/>
    <w:basedOn w:val="Normal"/>
    <w:next w:val="Normal"/>
    <w:qFormat/>
    <w:rsid w:val="003E6AED"/>
    <w:pPr>
      <w:spacing w:before="240" w:after="60"/>
      <w:outlineLvl w:val="5"/>
    </w:pPr>
    <w:rPr>
      <w:b/>
      <w:sz w:val="22"/>
      <w:szCs w:val="22"/>
    </w:rPr>
  </w:style>
  <w:style w:type="paragraph" w:styleId="Heading8">
    <w:name w:val="heading 8"/>
    <w:basedOn w:val="Normal"/>
    <w:next w:val="Normal"/>
    <w:link w:val="Heading8Char"/>
    <w:uiPriority w:val="9"/>
    <w:unhideWhenUsed/>
    <w:qFormat/>
    <w:rsid w:val="004C0318"/>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3E6AED"/>
    <w:pPr>
      <w:tabs>
        <w:tab w:val="left" w:pos="1710"/>
      </w:tabs>
      <w:ind w:left="270" w:hanging="270"/>
    </w:pPr>
    <w:rPr>
      <w:b/>
    </w:rPr>
  </w:style>
  <w:style w:type="paragraph" w:styleId="Header">
    <w:name w:val="header"/>
    <w:basedOn w:val="Normal"/>
    <w:link w:val="HeaderChar"/>
    <w:rsid w:val="003E6AED"/>
    <w:pPr>
      <w:tabs>
        <w:tab w:val="center" w:pos="4320"/>
        <w:tab w:val="right" w:pos="8640"/>
      </w:tabs>
    </w:pPr>
  </w:style>
  <w:style w:type="paragraph" w:styleId="BodyText3">
    <w:name w:val="Body Text 3"/>
    <w:basedOn w:val="Normal"/>
    <w:link w:val="BodyText3Char"/>
    <w:rsid w:val="003E6AED"/>
    <w:pPr>
      <w:jc w:val="center"/>
    </w:pPr>
  </w:style>
  <w:style w:type="paragraph" w:styleId="BodyTextIndent">
    <w:name w:val="Body Text Indent"/>
    <w:basedOn w:val="Normal"/>
    <w:rsid w:val="003E6AED"/>
    <w:pPr>
      <w:spacing w:after="120" w:line="480" w:lineRule="auto"/>
    </w:pPr>
  </w:style>
  <w:style w:type="paragraph" w:styleId="Footer">
    <w:name w:val="footer"/>
    <w:basedOn w:val="Normal"/>
    <w:semiHidden/>
    <w:rsid w:val="003E6AED"/>
    <w:pPr>
      <w:tabs>
        <w:tab w:val="center" w:pos="4320"/>
        <w:tab w:val="right" w:pos="8640"/>
      </w:tabs>
    </w:pPr>
  </w:style>
  <w:style w:type="character" w:styleId="PageNumber">
    <w:name w:val="page number"/>
    <w:basedOn w:val="DefaultParagraphFont"/>
    <w:rsid w:val="003E6AED"/>
  </w:style>
  <w:style w:type="paragraph" w:styleId="BodyText">
    <w:name w:val="Body Text"/>
    <w:basedOn w:val="Normal"/>
    <w:rsid w:val="003E6AED"/>
    <w:pPr>
      <w:ind w:right="-720"/>
    </w:pPr>
  </w:style>
  <w:style w:type="paragraph" w:styleId="BalloonText">
    <w:name w:val="Balloon Text"/>
    <w:basedOn w:val="Normal"/>
    <w:link w:val="BalloonTextChar"/>
    <w:uiPriority w:val="99"/>
    <w:semiHidden/>
    <w:rsid w:val="003E6AED"/>
    <w:rPr>
      <w:rFonts w:ascii="Lucida Grande" w:hAnsi="Lucida Grande"/>
      <w:sz w:val="18"/>
      <w:szCs w:val="18"/>
    </w:rPr>
  </w:style>
  <w:style w:type="character" w:styleId="CommentReference">
    <w:name w:val="annotation reference"/>
    <w:semiHidden/>
    <w:rsid w:val="003E6AED"/>
    <w:rPr>
      <w:sz w:val="18"/>
      <w:szCs w:val="18"/>
    </w:rPr>
  </w:style>
  <w:style w:type="paragraph" w:styleId="CommentText">
    <w:name w:val="annotation text"/>
    <w:basedOn w:val="Normal"/>
    <w:link w:val="CommentTextChar"/>
    <w:semiHidden/>
    <w:rsid w:val="003E6AED"/>
  </w:style>
  <w:style w:type="paragraph" w:styleId="CommentSubject">
    <w:name w:val="annotation subject"/>
    <w:basedOn w:val="CommentText"/>
    <w:next w:val="CommentText"/>
    <w:semiHidden/>
    <w:rsid w:val="003E6AED"/>
  </w:style>
  <w:style w:type="character" w:styleId="Hyperlink">
    <w:name w:val="Hyperlink"/>
    <w:rsid w:val="003E6AED"/>
    <w:rPr>
      <w:color w:val="0000FF"/>
      <w:u w:val="single"/>
    </w:rPr>
  </w:style>
  <w:style w:type="paragraph" w:styleId="Caption">
    <w:name w:val="caption"/>
    <w:basedOn w:val="Normal"/>
    <w:next w:val="Normal"/>
    <w:qFormat/>
    <w:rsid w:val="003E6AED"/>
    <w:rPr>
      <w:b/>
      <w:u w:val="single"/>
    </w:rPr>
  </w:style>
  <w:style w:type="paragraph" w:styleId="BodyTextIndent2">
    <w:name w:val="Body Text Indent 2"/>
    <w:basedOn w:val="Normal"/>
    <w:rsid w:val="003E6AED"/>
    <w:pPr>
      <w:spacing w:after="120" w:line="480" w:lineRule="auto"/>
      <w:ind w:left="360"/>
    </w:pPr>
  </w:style>
  <w:style w:type="table" w:styleId="TableGrid">
    <w:name w:val="Table Grid"/>
    <w:basedOn w:val="TableNormal"/>
    <w:rsid w:val="003E6AED"/>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3">
    <w:name w:val="Text 3"/>
    <w:basedOn w:val="Normal"/>
    <w:rsid w:val="00A643CC"/>
    <w:pPr>
      <w:spacing w:before="200"/>
      <w:ind w:left="1800"/>
      <w:jc w:val="both"/>
    </w:pPr>
    <w:rPr>
      <w:rFonts w:ascii="Times New Roman" w:hAnsi="Times New Roman"/>
      <w:szCs w:val="20"/>
      <w:lang w:val="en-GB"/>
    </w:rPr>
  </w:style>
  <w:style w:type="paragraph" w:customStyle="1" w:styleId="Text2">
    <w:name w:val="Text 2"/>
    <w:basedOn w:val="Normal"/>
    <w:rsid w:val="00A643CC"/>
    <w:pPr>
      <w:spacing w:before="200"/>
      <w:ind w:left="1123"/>
      <w:jc w:val="both"/>
    </w:pPr>
    <w:rPr>
      <w:rFonts w:ascii="Times New Roman" w:hAnsi="Times New Roman"/>
      <w:szCs w:val="20"/>
      <w:lang w:val="en-GB"/>
    </w:rPr>
  </w:style>
  <w:style w:type="paragraph" w:styleId="BodyText2">
    <w:name w:val="Body Text 2"/>
    <w:basedOn w:val="Normal"/>
    <w:rsid w:val="00A643CC"/>
    <w:rPr>
      <w:rFonts w:ascii="Times New Roman" w:hAnsi="Times New Roman"/>
      <w:i/>
      <w:sz w:val="20"/>
    </w:rPr>
  </w:style>
  <w:style w:type="character" w:styleId="FollowedHyperlink">
    <w:name w:val="FollowedHyperlink"/>
    <w:rsid w:val="00A643CC"/>
    <w:rPr>
      <w:color w:val="800080"/>
      <w:u w:val="single"/>
    </w:rPr>
  </w:style>
  <w:style w:type="character" w:customStyle="1" w:styleId="Heading8Char">
    <w:name w:val="Heading 8 Char"/>
    <w:link w:val="Heading8"/>
    <w:uiPriority w:val="9"/>
    <w:rsid w:val="004C0318"/>
    <w:rPr>
      <w:rFonts w:ascii="Calibri" w:eastAsia="Times New Roman" w:hAnsi="Calibri" w:cs="Times New Roman"/>
      <w:i/>
      <w:iCs/>
      <w:sz w:val="24"/>
      <w:szCs w:val="24"/>
    </w:rPr>
  </w:style>
  <w:style w:type="paragraph" w:customStyle="1" w:styleId="ColorfulList-Accent11">
    <w:name w:val="Colorful List - Accent 11"/>
    <w:basedOn w:val="Normal"/>
    <w:qFormat/>
    <w:rsid w:val="000A51C1"/>
    <w:pPr>
      <w:ind w:left="720"/>
      <w:contextualSpacing/>
    </w:pPr>
    <w:rPr>
      <w:rFonts w:eastAsia="Calibri"/>
      <w:lang w:bidi="en-US"/>
    </w:rPr>
  </w:style>
  <w:style w:type="paragraph" w:styleId="Revision">
    <w:name w:val="Revision"/>
    <w:hidden/>
    <w:uiPriority w:val="99"/>
    <w:semiHidden/>
    <w:rsid w:val="00373461"/>
    <w:rPr>
      <w:rFonts w:ascii="Times" w:hAnsi="Times"/>
      <w:sz w:val="24"/>
      <w:szCs w:val="24"/>
    </w:rPr>
  </w:style>
  <w:style w:type="character" w:customStyle="1" w:styleId="BodyText3Char">
    <w:name w:val="Body Text 3 Char"/>
    <w:link w:val="BodyText3"/>
    <w:rsid w:val="00594240"/>
    <w:rPr>
      <w:rFonts w:ascii="Times" w:hAnsi="Times"/>
      <w:sz w:val="24"/>
      <w:szCs w:val="24"/>
    </w:rPr>
  </w:style>
  <w:style w:type="character" w:customStyle="1" w:styleId="CommentTextChar">
    <w:name w:val="Comment Text Char"/>
    <w:basedOn w:val="DefaultParagraphFont"/>
    <w:link w:val="CommentText"/>
    <w:semiHidden/>
    <w:rsid w:val="00271C60"/>
    <w:rPr>
      <w:rFonts w:ascii="Times" w:hAnsi="Times"/>
      <w:sz w:val="24"/>
      <w:szCs w:val="24"/>
    </w:rPr>
  </w:style>
  <w:style w:type="character" w:customStyle="1" w:styleId="BalloonTextChar">
    <w:name w:val="Balloon Text Char"/>
    <w:basedOn w:val="DefaultParagraphFont"/>
    <w:link w:val="BalloonText"/>
    <w:uiPriority w:val="99"/>
    <w:semiHidden/>
    <w:rsid w:val="00271C60"/>
    <w:rPr>
      <w:rFonts w:ascii="Lucida Grande" w:hAnsi="Lucida Grande"/>
      <w:sz w:val="18"/>
      <w:szCs w:val="18"/>
    </w:rPr>
  </w:style>
  <w:style w:type="paragraph" w:styleId="NormalWeb">
    <w:name w:val="Normal (Web)"/>
    <w:basedOn w:val="Normal"/>
    <w:uiPriority w:val="99"/>
    <w:rsid w:val="00B33834"/>
    <w:pPr>
      <w:spacing w:before="100" w:beforeAutospacing="1" w:after="100" w:afterAutospacing="1"/>
    </w:pPr>
    <w:rPr>
      <w:rFonts w:ascii="Times New Roman" w:hAnsi="Times New Roman"/>
    </w:rPr>
  </w:style>
  <w:style w:type="character" w:customStyle="1" w:styleId="HeaderChar">
    <w:name w:val="Header Char"/>
    <w:basedOn w:val="DefaultParagraphFont"/>
    <w:link w:val="Header"/>
    <w:rsid w:val="00B33834"/>
    <w:rPr>
      <w:rFonts w:ascii="Times" w:hAnsi="Times"/>
      <w:sz w:val="24"/>
      <w:szCs w:val="24"/>
    </w:rPr>
  </w:style>
  <w:style w:type="paragraph" w:styleId="ListParagraph">
    <w:name w:val="List Paragraph"/>
    <w:basedOn w:val="Normal"/>
    <w:uiPriority w:val="34"/>
    <w:qFormat/>
    <w:rsid w:val="00B33834"/>
    <w:pPr>
      <w:spacing w:after="200" w:line="276" w:lineRule="auto"/>
      <w:ind w:left="720"/>
      <w:contextualSpacing/>
    </w:pPr>
    <w:rPr>
      <w:rFonts w:ascii="Calibri" w:eastAsia="Calibri" w:hAnsi="Calibri"/>
      <w:sz w:val="22"/>
      <w:szCs w:val="22"/>
    </w:rPr>
  </w:style>
  <w:style w:type="table" w:styleId="LightShading">
    <w:name w:val="Light Shading"/>
    <w:basedOn w:val="TableNormal"/>
    <w:uiPriority w:val="60"/>
    <w:rsid w:val="0032490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F0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zckoc@mail.nih.gov"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AA5A6F7146F045AF33A627CF5695A1" ma:contentTypeVersion="15" ma:contentTypeDescription="Create a new document." ma:contentTypeScope="" ma:versionID="d6bc4a7a76940f6d41f0761d193c1a78">
  <xsd:schema xmlns:xsd="http://www.w3.org/2001/XMLSchema" xmlns:xs="http://www.w3.org/2001/XMLSchema" xmlns:p="http://schemas.microsoft.com/office/2006/metadata/properties" xmlns:ns2="f85370dd-8bed-4563-966d-78f0aeaadda0" xmlns:ns3="fb9100ea-f450-491f-b913-6bafe2014090" targetNamespace="http://schemas.microsoft.com/office/2006/metadata/properties" ma:root="true" ma:fieldsID="e0f9ef998545ebc1dbbe202a1dd2adaa" ns2:_="" ns3:_="">
    <xsd:import namespace="f85370dd-8bed-4563-966d-78f0aeaadda0"/>
    <xsd:import namespace="fb9100ea-f450-491f-b913-6bafe20140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370dd-8bed-4563-966d-78f0aeaad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100ea-f450-491f-b913-6bafe20140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eecd32f-e2a0-4f54-bd7e-1a0bede9eea6}" ma:internalName="TaxCatchAll" ma:showField="CatchAllData" ma:web="fb9100ea-f450-491f-b913-6bafe2014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85370dd-8bed-4563-966d-78f0aeaadda0">
      <Terms xmlns="http://schemas.microsoft.com/office/infopath/2007/PartnerControls"/>
    </lcf76f155ced4ddcb4097134ff3c332f>
    <TaxCatchAll xmlns="fb9100ea-f450-491f-b913-6bafe2014090" xsi:nil="true"/>
  </documentManagement>
</p:properties>
</file>

<file path=customXml/itemProps1.xml><?xml version="1.0" encoding="utf-8"?>
<ds:datastoreItem xmlns:ds="http://schemas.openxmlformats.org/officeDocument/2006/customXml" ds:itemID="{8C889527-F2B3-5E4E-8154-9AAA36948618}">
  <ds:schemaRefs>
    <ds:schemaRef ds:uri="http://schemas.openxmlformats.org/officeDocument/2006/bibliography"/>
  </ds:schemaRefs>
</ds:datastoreItem>
</file>

<file path=customXml/itemProps2.xml><?xml version="1.0" encoding="utf-8"?>
<ds:datastoreItem xmlns:ds="http://schemas.openxmlformats.org/officeDocument/2006/customXml" ds:itemID="{9EC634BA-D943-4A89-BEF6-B555B8B8C996}"/>
</file>

<file path=customXml/itemProps3.xml><?xml version="1.0" encoding="utf-8"?>
<ds:datastoreItem xmlns:ds="http://schemas.openxmlformats.org/officeDocument/2006/customXml" ds:itemID="{06F52D27-3CEB-48AF-8938-EE7F3B9AF968}"/>
</file>

<file path=customXml/itemProps4.xml><?xml version="1.0" encoding="utf-8"?>
<ds:datastoreItem xmlns:ds="http://schemas.openxmlformats.org/officeDocument/2006/customXml" ds:itemID="{C872A57E-1612-4E8F-B38F-5EC822F5415E}"/>
</file>

<file path=docProps/app.xml><?xml version="1.0" encoding="utf-8"?>
<Properties xmlns="http://schemas.openxmlformats.org/officeDocument/2006/extended-properties" xmlns:vt="http://schemas.openxmlformats.org/officeDocument/2006/docPropsVTypes">
  <Template>Normal.dotm</Template>
  <TotalTime>1</TotalTime>
  <Pages>18</Pages>
  <Words>5927</Words>
  <Characters>33786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Evaluation of RGD Targeted Delivery of Phage Expressing TNF-α to Tumor Bearing Dogs</vt:lpstr>
    </vt:vector>
  </TitlesOfParts>
  <Company>NCI</Company>
  <LinksUpToDate>false</LinksUpToDate>
  <CharactersWithSpaces>39634</CharactersWithSpaces>
  <SharedDoc>false</SharedDoc>
  <HLinks>
    <vt:vector size="6" baseType="variant">
      <vt:variant>
        <vt:i4>8323197</vt:i4>
      </vt:variant>
      <vt:variant>
        <vt:i4>0</vt:i4>
      </vt:variant>
      <vt:variant>
        <vt:i4>0</vt:i4>
      </vt:variant>
      <vt:variant>
        <vt:i4>5</vt:i4>
      </vt:variant>
      <vt:variant>
        <vt:lpwstr>mailto:mazckoc@mail.nih.gov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RGD Targeted Delivery of Phage Expressing TNF-α to Tumor Bearing Dogs</dc:title>
  <dc:creator>Melissa Paoloni</dc:creator>
  <cp:lastModifiedBy>Mazcko, Christina (NIH/NCI) [E]</cp:lastModifiedBy>
  <cp:revision>2</cp:revision>
  <cp:lastPrinted>2015-08-05T15:26:00Z</cp:lastPrinted>
  <dcterms:created xsi:type="dcterms:W3CDTF">2023-07-19T18:00:00Z</dcterms:created>
  <dcterms:modified xsi:type="dcterms:W3CDTF">2023-07-19T18:00:00Z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0x010100ACAA5A6F7146F045AF33A627CF5695A1</vt:lpwstr>
  </property>
</Properties>
</file>