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S3 Integration Properties (hpc.integration.s3.*)</w:t>
      </w:r>
    </w:p>
    <w:p>
      <w:r>
        <w:rPr>
          <w:b/>
        </w:rPr>
        <w:t xml:space="preserve">Legend: </w:t>
      </w:r>
      <w:r>
        <w:t>✅ = consumed by that client · — = not used · Default = AWS SDK jar default (blank = app-defined, no jar default) · Prod = current tuned value in all three property files.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blHeader w:val="true"/>
          <w:cantSplit/>
        </w:trPr>
        <w:tc>
          <w:tcPr>
            <w:tcW w:type="dxa" w:w="2448"/>
            <w:shd w:val="clear" w:color="auto" w:fill="2E5496"/>
          </w:tcPr>
          <w:p>
            <w:r/>
            <w:r>
              <w:rPr>
                <w:b/>
                <w:color w:val="FFFFFF"/>
                <w:sz w:val="18"/>
              </w:rPr>
              <w:t>Property (hpc.integration.s3.*)</w:t>
            </w:r>
          </w:p>
        </w:tc>
        <w:tc>
          <w:tcPr>
            <w:tcW w:type="dxa" w:w="6048"/>
            <w:shd w:val="clear" w:color="auto" w:fill="2E5496"/>
          </w:tcPr>
          <w:p>
            <w:r/>
            <w:r>
              <w:rPr>
                <w:b/>
                <w:color w:val="FFFFFF"/>
                <w:sz w:val="18"/>
              </w:rPr>
              <w:t>Description &amp; tuning guidance</w:t>
            </w:r>
          </w:p>
        </w:tc>
        <w:tc>
          <w:tcPr>
            <w:tcW w:type="dxa" w:w="576"/>
            <w:shd w:val="clear" w:color="auto" w:fill="2E549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v1</w:t>
            </w:r>
          </w:p>
        </w:tc>
        <w:tc>
          <w:tcPr>
            <w:tcW w:type="dxa" w:w="576"/>
            <w:shd w:val="clear" w:color="auto" w:fill="2E549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CRT</w:t>
            </w:r>
          </w:p>
        </w:tc>
        <w:tc>
          <w:tcPr>
            <w:tcW w:type="dxa" w:w="720"/>
            <w:shd w:val="clear" w:color="auto" w:fill="2E549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Netty</w:t>
            </w:r>
          </w:p>
        </w:tc>
        <w:tc>
          <w:tcPr>
            <w:tcW w:type="dxa" w:w="1296"/>
            <w:shd w:val="clear" w:color="auto" w:fill="2E549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2016"/>
            <w:shd w:val="clear" w:color="auto" w:fill="2E5496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Prod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onsolas" w:hAnsi="Consolas"/>
                <w:b/>
                <w:sz w:val="18"/>
              </w:rPr>
              <w:t>asyncClient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Chooses v2 client. CRT = native, high-throughput, auto-parallel, concurrency derived from target throughput (fewer knobs). NETTYNIO = JVM client with explicit pool/timeout control. Use CRT for raw throughput; Netty when you need fine pool control.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1296"/>
          </w:tcPr>
          <w:p>
            <w:r/>
            <w:r>
              <w:rPr>
                <w:rFonts w:ascii="Consolas" w:hAnsi="Consolas"/>
                <w:sz w:val="18"/>
              </w:rPr>
            </w:r>
          </w:p>
        </w:tc>
        <w:tc>
          <w:tcPr>
            <w:tcW w:type="dxa" w:w="2016"/>
          </w:tcPr>
          <w:p>
            <w:r/>
            <w:r>
              <w:rPr>
                <w:rFonts w:ascii="Consolas" w:hAnsi="Consolas"/>
                <w:sz w:val="18"/>
              </w:rPr>
              <w:t>CRT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onsolas" w:hAnsi="Consolas"/>
                <w:b/>
                <w:sz w:val="18"/>
              </w:rPr>
              <w:t>executorThreadPoolSize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Threads running per-transfer completion callbacks → effectively caps concurrent transfers. Raise for more parallelism on big boxes, but scale maxConnections with it (Netty).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1296"/>
          </w:tcPr>
          <w:p>
            <w:r/>
            <w:r>
              <w:rPr>
                <w:rFonts w:ascii="Consolas" w:hAnsi="Consolas"/>
                <w:sz w:val="18"/>
              </w:rPr>
            </w:r>
          </w:p>
        </w:tc>
        <w:tc>
          <w:tcPr>
            <w:tcW w:type="dxa" w:w="2016"/>
          </w:tcPr>
          <w:p>
            <w:r/>
            <w:r>
              <w:rPr>
                <w:rFonts w:ascii="Consolas" w:hAnsi="Consolas"/>
                <w:sz w:val="18"/>
              </w:rPr>
              <w:t>24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onsolas" w:hAnsi="Consolas"/>
                <w:b/>
                <w:sz w:val="18"/>
              </w:rPr>
              <w:t>awsTransferManagerThreadPoolSize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Threads S3TransferManager uses to complete transfer futures. Keep ≈ executorThreadPoolSize so completions don't serialize under load.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1296"/>
          </w:tcPr>
          <w:p>
            <w:r/>
            <w:r>
              <w:rPr>
                <w:rFonts w:ascii="Consolas" w:hAnsi="Consolas"/>
                <w:sz w:val="18"/>
              </w:rPr>
            </w:r>
          </w:p>
        </w:tc>
        <w:tc>
          <w:tcPr>
            <w:tcW w:type="dxa" w:w="2016"/>
          </w:tcPr>
          <w:p>
            <w:r/>
            <w:r>
              <w:rPr>
                <w:rFonts w:ascii="Consolas" w:hAnsi="Consolas"/>
                <w:sz w:val="18"/>
              </w:rPr>
              <w:t>24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onsolas" w:hAnsi="Consolas"/>
                <w:b/>
                <w:sz w:val="18"/>
              </w:rPr>
              <w:t>pathStyleAccessEnabledProviders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Providers needing path-style URLs vs virtual-host. Correctness for 3rd-party S3, not performance.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1296"/>
          </w:tcPr>
          <w:p>
            <w:r/>
            <w:r>
              <w:rPr>
                <w:rFonts w:ascii="Consolas" w:hAnsi="Consolas"/>
                <w:sz w:val="18"/>
              </w:rPr>
            </w:r>
          </w:p>
        </w:tc>
        <w:tc>
          <w:tcPr>
            <w:tcW w:type="dxa" w:w="2016"/>
          </w:tcPr>
          <w:p>
            <w:r/>
            <w:r>
              <w:rPr>
                <w:rFonts w:ascii="Consolas" w:hAnsi="Consolas"/>
                <w:sz w:val="18"/>
              </w:rPr>
              <w:t>CLOUDIAN,VAST,VAST_NCIVS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onsolas" w:hAnsi="Consolas"/>
                <w:b/>
                <w:sz w:val="18"/>
              </w:rPr>
              <w:t>minimumUploadPartSize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Multipart part size (bytes). Larger = fewer requests/less overhead for big files but more memory per in-flight part &amp; coarser parallelism; smaller = more parallelism but more request overhead. Also the floor for the threshold.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1296"/>
          </w:tcPr>
          <w:p>
            <w:r/>
            <w:r>
              <w:rPr>
                <w:rFonts w:ascii="Consolas" w:hAnsi="Consolas"/>
                <w:sz w:val="18"/>
              </w:rPr>
              <w:t>8388608</w:t>
            </w:r>
          </w:p>
        </w:tc>
        <w:tc>
          <w:tcPr>
            <w:tcW w:type="dxa" w:w="2016"/>
          </w:tcPr>
          <w:p>
            <w:r/>
            <w:r>
              <w:rPr>
                <w:rFonts w:ascii="Consolas" w:hAnsi="Consolas"/>
                <w:sz w:val="18"/>
              </w:rPr>
              <w:t>8388608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onsolas" w:hAnsi="Consolas"/>
                <w:b/>
                <w:sz w:val="18"/>
              </w:rPr>
              <w:t>multipartUploadThreshold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File size at which multipart engages (below it → single PUT). Lower to parallelize mid-size files; raise to avoid multipart overhead on smaller ones.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1296"/>
          </w:tcPr>
          <w:p>
            <w:r/>
            <w:r>
              <w:rPr>
                <w:rFonts w:ascii="Consolas" w:hAnsi="Consolas"/>
                <w:sz w:val="18"/>
              </w:rPr>
              <w:t>8388608</w:t>
            </w:r>
          </w:p>
        </w:tc>
        <w:tc>
          <w:tcPr>
            <w:tcW w:type="dxa" w:w="2016"/>
          </w:tcPr>
          <w:p>
            <w:r/>
            <w:r>
              <w:rPr>
                <w:rFonts w:ascii="Consolas" w:hAnsi="Consolas"/>
                <w:sz w:val="18"/>
              </w:rPr>
              <w:t>8388608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onsolas" w:hAnsi="Consolas"/>
                <w:b/>
                <w:sz w:val="18"/>
              </w:rPr>
              <w:t>connectionTimeout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Max time to establish a TCP connection (ms). Low = fail fast on unreachable endpoints but risky on slow links; raise for high-latency networks. Shared with v1 sync client.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1296"/>
          </w:tcPr>
          <w:p>
            <w:r/>
            <w:r>
              <w:rPr>
                <w:rFonts w:ascii="Consolas" w:hAnsi="Consolas"/>
                <w:sz w:val="18"/>
              </w:rPr>
              <w:t>2000</w:t>
            </w:r>
          </w:p>
        </w:tc>
        <w:tc>
          <w:tcPr>
            <w:tcW w:type="dxa" w:w="2016"/>
          </w:tcPr>
          <w:p>
            <w:r/>
            <w:r>
              <w:rPr>
                <w:rFonts w:ascii="Consolas" w:hAnsi="Consolas"/>
                <w:sz w:val="18"/>
              </w:rPr>
              <w:t>2000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onsolas" w:hAnsi="Consolas"/>
                <w:b/>
                <w:sz w:val="18"/>
              </w:rPr>
              <w:t>socketTimeout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Max wait for data on an open connection → Netty read/write timeout (ms). Raise for slow/large transfers to avoid premature aborts; lower to detect stalls faster.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1296"/>
          </w:tcPr>
          <w:p>
            <w:r/>
            <w:r>
              <w:rPr>
                <w:rFonts w:ascii="Consolas" w:hAnsi="Consolas"/>
                <w:sz w:val="18"/>
              </w:rPr>
              <w:t>30000</w:t>
            </w:r>
          </w:p>
        </w:tc>
        <w:tc>
          <w:tcPr>
            <w:tcW w:type="dxa" w:w="2016"/>
          </w:tcPr>
          <w:p>
            <w:r/>
            <w:r>
              <w:rPr>
                <w:rFonts w:ascii="Consolas" w:hAnsi="Consolas"/>
                <w:sz w:val="18"/>
              </w:rPr>
              <w:t>30000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onsolas" w:hAnsi="Consolas"/>
                <w:b/>
                <w:sz w:val="18"/>
              </w:rPr>
              <w:t>useTcpKeepAlive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OS TCP keep-alive to detect dead peers on long-lived/idle connections. Helps long transfers behind NAT/firewalls.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1296"/>
          </w:tcPr>
          <w:p>
            <w:r/>
            <w:r>
              <w:rPr>
                <w:rFonts w:ascii="Consolas" w:hAnsi="Consolas"/>
                <w:sz w:val="18"/>
              </w:rPr>
              <w:t>false</w:t>
            </w:r>
          </w:p>
        </w:tc>
        <w:tc>
          <w:tcPr>
            <w:tcW w:type="dxa" w:w="2016"/>
          </w:tcPr>
          <w:p>
            <w:r/>
            <w:r>
              <w:rPr>
                <w:rFonts w:ascii="Consolas" w:hAnsi="Consolas"/>
                <w:sz w:val="18"/>
              </w:rPr>
              <w:t>false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onsolas" w:hAnsi="Consolas"/>
                <w:b/>
                <w:sz w:val="18"/>
              </w:rPr>
              <w:t>maxErrorRetries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SDK retry attempts on transient errors/throttling. Raise for flaky networks / throttling resilience; too high masks failures and inflates tail latency.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1296"/>
          </w:tcPr>
          <w:p>
            <w:r/>
            <w:r>
              <w:rPr>
                <w:rFonts w:ascii="Consolas" w:hAnsi="Consolas"/>
                <w:sz w:val="18"/>
              </w:rPr>
              <w:t>3</w:t>
            </w:r>
          </w:p>
        </w:tc>
        <w:tc>
          <w:tcPr>
            <w:tcW w:type="dxa" w:w="2016"/>
          </w:tcPr>
          <w:p>
            <w:r/>
            <w:r>
              <w:rPr>
                <w:rFonts w:ascii="Consolas" w:hAnsi="Consolas"/>
                <w:sz w:val="18"/>
              </w:rPr>
              <w:t>3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onsolas" w:hAnsi="Consolas"/>
                <w:b/>
                <w:sz w:val="18"/>
              </w:rPr>
              <w:t>maxConnections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Netty HTTP pool size (maxConcurrency) = ceiling for total in-flight requests. Must cover concurrentTransfers × maxInFlightParts + control headroom. The primary pool knob; costs sockets/FDs/memory.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1296"/>
          </w:tcPr>
          <w:p>
            <w:r/>
            <w:r>
              <w:rPr>
                <w:rFonts w:ascii="Consolas" w:hAnsi="Consolas"/>
                <w:sz w:val="18"/>
              </w:rPr>
              <w:t>50</w:t>
            </w:r>
          </w:p>
        </w:tc>
        <w:tc>
          <w:tcPr>
            <w:tcW w:type="dxa" w:w="2016"/>
          </w:tcPr>
          <w:p>
            <w:r/>
            <w:r>
              <w:rPr>
                <w:rFonts w:ascii="Consolas" w:hAnsi="Consolas"/>
                <w:sz w:val="18"/>
              </w:rPr>
              <w:t>240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onsolas" w:hAnsi="Consolas"/>
                <w:b/>
                <w:sz w:val="18"/>
              </w:rPr>
              <w:t>validateAfterInactivityMillis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(v1 Apache pool) revalidate a pooled connection after it's idle this long before reuse → avoids stale-connection errors. Lower on unstable networks.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rFonts w:ascii="Consolas" w:hAnsi="Consolas"/>
                <w:sz w:val="18"/>
              </w:rPr>
              <w:t>5000</w:t>
            </w:r>
          </w:p>
        </w:tc>
        <w:tc>
          <w:tcPr>
            <w:tcW w:type="dxa" w:w="2016"/>
          </w:tcPr>
          <w:p>
            <w:r/>
            <w:r>
              <w:rPr>
                <w:rFonts w:ascii="Consolas" w:hAnsi="Consolas"/>
                <w:sz w:val="18"/>
              </w:rPr>
              <w:t>5000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onsolas" w:hAnsi="Consolas"/>
                <w:b/>
                <w:sz w:val="18"/>
              </w:rPr>
              <w:t>disableCertChecking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Disable TLS cert validation. Dev/test only — never true in prod. No performance effect.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1296"/>
          </w:tcPr>
          <w:p>
            <w:r/>
            <w:r>
              <w:rPr>
                <w:rFonts w:ascii="Consolas" w:hAnsi="Consolas"/>
                <w:sz w:val="18"/>
              </w:rPr>
              <w:t>false</w:t>
            </w:r>
          </w:p>
        </w:tc>
        <w:tc>
          <w:tcPr>
            <w:tcW w:type="dxa" w:w="2016"/>
          </w:tcPr>
          <w:p>
            <w:r/>
            <w:r>
              <w:rPr>
                <w:rFonts w:ascii="Consolas" w:hAnsi="Consolas"/>
                <w:sz w:val="18"/>
              </w:rPr>
              <w:t>false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onsolas" w:hAnsi="Consolas"/>
                <w:b/>
                <w:sz w:val="18"/>
              </w:rPr>
              <w:t>restoreNumDays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Days a Glacier-restored copy stays available. Cost/retention knob, not throughput.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1296"/>
          </w:tcPr>
          <w:p>
            <w:r/>
            <w:r>
              <w:rPr>
                <w:rFonts w:ascii="Consolas" w:hAnsi="Consolas"/>
                <w:sz w:val="18"/>
              </w:rPr>
            </w:r>
          </w:p>
        </w:tc>
        <w:tc>
          <w:tcPr>
            <w:tcW w:type="dxa" w:w="2016"/>
          </w:tcPr>
          <w:p>
            <w:r/>
            <w:r>
              <w:rPr>
                <w:rFonts w:ascii="Consolas" w:hAnsi="Consolas"/>
                <w:sz w:val="18"/>
              </w:rPr>
              <w:t>2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onsolas" w:hAnsi="Consolas"/>
                <w:b/>
                <w:sz w:val="18"/>
              </w:rPr>
              <w:t>tieringEndpoint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S3 endpoint used for tiering operations. Routing/correctness, not throughput.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1296"/>
          </w:tcPr>
          <w:p>
            <w:r/>
            <w:r>
              <w:rPr>
                <w:rFonts w:ascii="Consolas" w:hAnsi="Consolas"/>
                <w:sz w:val="18"/>
              </w:rPr>
            </w:r>
          </w:p>
        </w:tc>
        <w:tc>
          <w:tcPr>
            <w:tcW w:type="dxa" w:w="2016"/>
          </w:tcPr>
          <w:p>
            <w:r/>
            <w:r>
              <w:rPr>
                <w:rFonts w:ascii="Consolas" w:hAnsi="Consolas"/>
                <w:sz w:val="18"/>
              </w:rPr>
              <w:t>https://s3.amazonaws.com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onsolas" w:hAnsi="Consolas"/>
                <w:b/>
                <w:sz w:val="18"/>
              </w:rPr>
              <w:t>crtLogFile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Path to CRT native log (empty = off). Enable only for deep CRT debugging — logging adds overhead.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rFonts w:ascii="Consolas" w:hAnsi="Consolas"/>
                <w:sz w:val="18"/>
              </w:rPr>
            </w:r>
          </w:p>
        </w:tc>
        <w:tc>
          <w:tcPr>
            <w:tcW w:type="dxa" w:w="2016"/>
          </w:tcPr>
          <w:p>
            <w:r/>
            <w:r>
              <w:rPr>
                <w:rFonts w:ascii="Consolas" w:hAnsi="Consolas"/>
                <w:sz w:val="18"/>
              </w:rPr>
              <w:t>(empty)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onsolas" w:hAnsi="Consolas"/>
                <w:b/>
                <w:sz w:val="18"/>
              </w:rPr>
              <w:t>crtLogLevel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CRT native log verbosity when a log file is set. Higher = more overhead.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rFonts w:ascii="Consolas" w:hAnsi="Consolas"/>
                <w:sz w:val="18"/>
              </w:rPr>
            </w:r>
          </w:p>
        </w:tc>
        <w:tc>
          <w:tcPr>
            <w:tcW w:type="dxa" w:w="2016"/>
          </w:tcPr>
          <w:p>
            <w:r/>
            <w:r>
              <w:rPr>
                <w:rFonts w:ascii="Consolas" w:hAnsi="Consolas"/>
                <w:sz w:val="18"/>
              </w:rPr>
              <w:t>Info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onsolas" w:hAnsi="Consolas"/>
                <w:b/>
                <w:sz w:val="18"/>
              </w:rPr>
              <w:t>nettynio.maxInFlightParts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Parallel multipart parts per single transfer. Higher = faster individual large files but consumes more pool connections per transfer; keep ≤ maxConnections / concurrentTransfers with headroom.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1296"/>
          </w:tcPr>
          <w:p>
            <w:r/>
            <w:r>
              <w:rPr>
                <w:rFonts w:ascii="Consolas" w:hAnsi="Consolas"/>
                <w:sz w:val="18"/>
              </w:rPr>
              <w:t>50</w:t>
            </w:r>
          </w:p>
        </w:tc>
        <w:tc>
          <w:tcPr>
            <w:tcW w:type="dxa" w:w="2016"/>
          </w:tcPr>
          <w:p>
            <w:r/>
            <w:r>
              <w:rPr>
                <w:rFonts w:ascii="Consolas" w:hAnsi="Consolas"/>
                <w:sz w:val="18"/>
              </w:rPr>
              <w:t>8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onsolas" w:hAnsi="Consolas"/>
                <w:b/>
                <w:sz w:val="18"/>
              </w:rPr>
              <w:t>nettynio.connectionAcquisitionTimeout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Max time a request waits to borrow a pooled connection before failing (ms). Raise when the pool is intentionally shared/contended (prefer waiting over failing); frequent hits mean the pool is undersized.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sz w:val="18"/>
              </w:rPr>
              <w:t>✅</w:t>
            </w:r>
          </w:p>
        </w:tc>
        <w:tc>
          <w:tcPr>
            <w:tcW w:type="dxa" w:w="1296"/>
          </w:tcPr>
          <w:p>
            <w:r/>
            <w:r>
              <w:rPr>
                <w:rFonts w:ascii="Consolas" w:hAnsi="Consolas"/>
                <w:sz w:val="18"/>
              </w:rPr>
              <w:t>10000</w:t>
            </w:r>
          </w:p>
        </w:tc>
        <w:tc>
          <w:tcPr>
            <w:tcW w:type="dxa" w:w="2016"/>
          </w:tcPr>
          <w:p>
            <w:r/>
            <w:r>
              <w:rPr>
                <w:rFonts w:ascii="Consolas" w:hAnsi="Consolas"/>
                <w:sz w:val="18"/>
              </w:rPr>
              <w:t>60000</w:t>
            </w:r>
          </w:p>
        </w:tc>
      </w:tr>
    </w:tbl>
    <w:sectPr w:rsidR="00FC693F" w:rsidRPr="0006063C" w:rsidSect="00034616">
      <w:pgSz w:w="15840" w:h="12240" w:orient="landscape"/>
      <w:pgMar w:top="1440" w:right="720" w:bottom="144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