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48317D">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5187516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13346">
              <w:rPr>
                <w:rFonts w:cstheme="minorHAnsi"/>
                <w:b/>
                <w:bCs/>
                <w:sz w:val="28"/>
                <w:szCs w:val="28"/>
              </w:rPr>
              <w:t>March 27</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43320E89" w:rsidR="00413346" w:rsidRDefault="00413346" w:rsidP="00413346">
            <w:pPr>
              <w:rPr>
                <w:rFonts w:cstheme="minorHAnsi"/>
                <w:sz w:val="28"/>
                <w:szCs w:val="28"/>
              </w:rPr>
            </w:pPr>
            <w:r>
              <w:rPr>
                <w:rFonts w:cstheme="minorHAnsi"/>
                <w:sz w:val="28"/>
                <w:szCs w:val="28"/>
              </w:rPr>
              <w:t>v3.0 – March 27, 2024</w:t>
            </w:r>
          </w:p>
          <w:p w14:paraId="718BB19C" w14:textId="6EA22503" w:rsidR="00413346" w:rsidRDefault="00413346"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lastRenderedPageBreak/>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24F84A35" w14:textId="77777777" w:rsidR="00DE746A" w:rsidRDefault="00DE746A" w:rsidP="00DE746A">
            <w:pPr>
              <w:pStyle w:val="NormalWeb"/>
              <w:spacing w:before="0" w:beforeAutospacing="0" w:after="0" w:afterAutospacing="0"/>
              <w:rPr>
                <w:color w:val="0E101A"/>
              </w:rPr>
            </w:pPr>
          </w:p>
          <w:p w14:paraId="692E4A15" w14:textId="7A99924C"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HPCDATAMGM-1421:</w:t>
            </w:r>
            <w:r w:rsidRPr="00DE746A">
              <w:rPr>
                <w:color w:val="0E101A"/>
                <w:sz w:val="28"/>
                <w:szCs w:val="28"/>
              </w:rPr>
              <w:t> Enhanced the </w:t>
            </w:r>
            <w:r w:rsidRPr="00DE746A">
              <w:rPr>
                <w:rStyle w:val="Emphasis"/>
                <w:color w:val="0E101A"/>
                <w:sz w:val="28"/>
                <w:szCs w:val="28"/>
              </w:rPr>
              <w:t>Download Data Object </w:t>
            </w:r>
            <w:r w:rsidRPr="00DE746A">
              <w:rPr>
                <w:color w:val="0E101A"/>
                <w:sz w:val="28"/>
                <w:szCs w:val="28"/>
              </w:rPr>
              <w:t>REST API to provide a programmatic interface for downloading files from DME to Box</w:t>
            </w:r>
            <w:r w:rsidR="009548A7">
              <w:rPr>
                <w:color w:val="0E101A"/>
                <w:sz w:val="28"/>
                <w:szCs w:val="28"/>
              </w:rPr>
              <w:t>.com</w:t>
            </w:r>
            <w:r w:rsidRPr="00DE746A">
              <w:rPr>
                <w:color w:val="0E101A"/>
                <w:sz w:val="28"/>
                <w:szCs w:val="28"/>
              </w:rPr>
              <w:t xml:space="preserve"> endpoints. This is currently a proof-of-concept implementation, deployed to demonstrate connectivity to </w:t>
            </w:r>
            <w:r w:rsidR="009548A7">
              <w:rPr>
                <w:color w:val="0E101A"/>
                <w:sz w:val="28"/>
                <w:szCs w:val="28"/>
              </w:rPr>
              <w:t>collaborator</w:t>
            </w:r>
            <w:r w:rsidRPr="00DE746A">
              <w:rPr>
                <w:color w:val="0E101A"/>
                <w:sz w:val="28"/>
                <w:szCs w:val="28"/>
              </w:rPr>
              <w:t xml:space="preserve"> Box </w:t>
            </w:r>
            <w:r w:rsidR="009548A7">
              <w:rPr>
                <w:color w:val="0E101A"/>
                <w:sz w:val="28"/>
                <w:szCs w:val="28"/>
              </w:rPr>
              <w:t>accounts</w:t>
            </w:r>
            <w:r w:rsidRPr="00DE746A">
              <w:rPr>
                <w:color w:val="0E101A"/>
                <w:sz w:val="28"/>
                <w:szCs w:val="28"/>
              </w:rPr>
              <w:t>. For details, refer to section 5.43 of the </w:t>
            </w:r>
            <w:hyperlink r:id="rId7" w:tgtFrame="_blank" w:history="1">
              <w:r w:rsidRPr="00DE746A">
                <w:rPr>
                  <w:rStyle w:val="Hyperlink"/>
                  <w:color w:val="4A6EE0"/>
                  <w:sz w:val="28"/>
                  <w:szCs w:val="28"/>
                </w:rPr>
                <w:t>DME API Specification</w:t>
              </w:r>
            </w:hyperlink>
            <w:r w:rsidRPr="00DE746A">
              <w:rPr>
                <w:color w:val="0E101A"/>
                <w:sz w:val="28"/>
                <w:szCs w:val="28"/>
              </w:rPr>
              <w:t>. </w:t>
            </w:r>
          </w:p>
          <w:p w14:paraId="2FDCEAC3"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rPr>
              <w:t> </w:t>
            </w:r>
          </w:p>
          <w:p w14:paraId="4926FA3B" w14:textId="28E5A7FC"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HPCDATAMGM-18</w:t>
            </w:r>
            <w:r w:rsidR="0048317D">
              <w:rPr>
                <w:color w:val="0E101A"/>
                <w:sz w:val="28"/>
                <w:szCs w:val="28"/>
                <w:u w:val="single"/>
              </w:rPr>
              <w:t>96</w:t>
            </w:r>
            <w:r w:rsidRPr="00DE746A">
              <w:rPr>
                <w:color w:val="0E101A"/>
                <w:sz w:val="28"/>
                <w:szCs w:val="28"/>
              </w:rPr>
              <w:t>: Added an Expand All button to the header of the summary table of the Downloads Tasks dashboard to enable users to expand the abbreviated cells of all the rows at the click of a button. </w:t>
            </w:r>
          </w:p>
          <w:p w14:paraId="11A516CB" w14:textId="77777777" w:rsidR="00DE746A" w:rsidRPr="00DE746A" w:rsidRDefault="00DE746A" w:rsidP="00DE746A">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3D20E9C1" w14:textId="77777777" w:rsidR="00DE746A" w:rsidRDefault="00DE746A" w:rsidP="001B283D">
            <w:pPr>
              <w:pStyle w:val="NormalWeb"/>
              <w:spacing w:before="0" w:beforeAutospacing="0" w:after="0" w:afterAutospacing="0"/>
              <w:rPr>
                <w:rStyle w:val="Strong"/>
                <w:color w:val="0E101A"/>
                <w:sz w:val="28"/>
                <w:szCs w:val="28"/>
                <w:u w:val="single"/>
              </w:rPr>
            </w:pPr>
          </w:p>
          <w:p w14:paraId="3EAABBB6"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HPCDATAMGM-1871</w:t>
            </w:r>
            <w:r w:rsidRPr="00DE746A">
              <w:rPr>
                <w:color w:val="0E101A"/>
                <w:sz w:val="28"/>
                <w:szCs w:val="28"/>
              </w:rPr>
              <w:t>: Updated the metadata validation rules to perform the check to restrict optional metadata to predefined metadata for new files/collections only. Changes to existing files/collections metadata will only be subjected to mandatory metadata validation.  </w:t>
            </w:r>
          </w:p>
          <w:p w14:paraId="36F00C1C" w14:textId="77777777" w:rsidR="00DE746A" w:rsidRPr="00DE746A" w:rsidRDefault="00DE746A" w:rsidP="00DE746A">
            <w:pPr>
              <w:pStyle w:val="NormalWeb"/>
              <w:spacing w:before="0" w:beforeAutospacing="0" w:after="0" w:afterAutospacing="0"/>
              <w:rPr>
                <w:color w:val="0E101A"/>
                <w:sz w:val="28"/>
                <w:szCs w:val="28"/>
              </w:rPr>
            </w:pPr>
          </w:p>
          <w:p w14:paraId="320D6397" w14:textId="78C24FCB"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HPCDATAMGM-1909</w:t>
            </w:r>
            <w:r w:rsidR="00413346">
              <w:rPr>
                <w:color w:val="0E101A"/>
                <w:sz w:val="28"/>
                <w:szCs w:val="28"/>
                <w:u w:val="single"/>
              </w:rPr>
              <w:t>, 1908</w:t>
            </w:r>
            <w:r w:rsidRPr="00DE746A">
              <w:rPr>
                <w:color w:val="0E101A"/>
                <w:sz w:val="28"/>
                <w:szCs w:val="28"/>
              </w:rPr>
              <w:t xml:space="preserve">: Enhanced the </w:t>
            </w:r>
            <w:r w:rsidR="00D74365" w:rsidRPr="00DE746A">
              <w:rPr>
                <w:rStyle w:val="Emphasis"/>
                <w:color w:val="0E101A"/>
                <w:sz w:val="28"/>
                <w:szCs w:val="28"/>
              </w:rPr>
              <w:t>dm_register_directory</w:t>
            </w:r>
            <w:r w:rsidR="00D74365" w:rsidRPr="00DE746A">
              <w:rPr>
                <w:color w:val="0E101A"/>
                <w:sz w:val="28"/>
                <w:szCs w:val="28"/>
              </w:rPr>
              <w:t xml:space="preserve">  </w:t>
            </w:r>
            <w:r w:rsidRPr="00DE746A">
              <w:rPr>
                <w:color w:val="0E101A"/>
                <w:sz w:val="28"/>
                <w:szCs w:val="28"/>
              </w:rPr>
              <w:t xml:space="preserve">command line utility </w:t>
            </w:r>
            <w:r w:rsidR="00413346">
              <w:rPr>
                <w:color w:val="0E101A"/>
                <w:sz w:val="28"/>
                <w:szCs w:val="28"/>
              </w:rPr>
              <w:t xml:space="preserve">(CLU) </w:t>
            </w:r>
            <w:r w:rsidRPr="00DE746A">
              <w:rPr>
                <w:color w:val="0E101A"/>
                <w:sz w:val="28"/>
                <w:szCs w:val="28"/>
              </w:rPr>
              <w:t>to provide the location of the log file</w:t>
            </w:r>
            <w:r w:rsidR="00D74365">
              <w:rPr>
                <w:color w:val="0E101A"/>
                <w:sz w:val="28"/>
                <w:szCs w:val="28"/>
              </w:rPr>
              <w:t xml:space="preserve"> in the error messages</w:t>
            </w:r>
            <w:r w:rsidRPr="00DE746A">
              <w:rPr>
                <w:color w:val="0E101A"/>
                <w:sz w:val="28"/>
                <w:szCs w:val="28"/>
              </w:rPr>
              <w:t xml:space="preserve">. Removed auto-creation of the </w:t>
            </w:r>
            <w:r w:rsidRPr="00413346">
              <w:rPr>
                <w:i/>
                <w:iCs/>
                <w:color w:val="0E101A"/>
                <w:sz w:val="28"/>
                <w:szCs w:val="28"/>
              </w:rPr>
              <w:t>modified_date</w:t>
            </w:r>
            <w:r w:rsidRPr="00DE746A">
              <w:rPr>
                <w:color w:val="0E101A"/>
                <w:sz w:val="28"/>
                <w:szCs w:val="28"/>
              </w:rPr>
              <w:t xml:space="preserve"> </w:t>
            </w:r>
            <w:r w:rsidR="00D74365">
              <w:rPr>
                <w:color w:val="0E101A"/>
                <w:sz w:val="28"/>
                <w:szCs w:val="28"/>
              </w:rPr>
              <w:t>metadata by the CLU.</w:t>
            </w:r>
            <w:r w:rsidRPr="00DE746A">
              <w:rPr>
                <w:color w:val="0E101A"/>
                <w:sz w:val="28"/>
                <w:szCs w:val="28"/>
              </w:rPr>
              <w:t> </w:t>
            </w:r>
          </w:p>
          <w:p w14:paraId="46B27464" w14:textId="77777777" w:rsidR="00DE746A" w:rsidRPr="00DE746A" w:rsidRDefault="00DE746A" w:rsidP="00DE746A">
            <w:pPr>
              <w:pStyle w:val="NormalWeb"/>
              <w:spacing w:before="0" w:beforeAutospacing="0" w:after="0" w:afterAutospacing="0"/>
              <w:rPr>
                <w:color w:val="0E101A"/>
                <w:sz w:val="28"/>
                <w:szCs w:val="28"/>
              </w:rPr>
            </w:pPr>
          </w:p>
          <w:p w14:paraId="472806AE" w14:textId="097CE3AD"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HPCDATAMGM-1903:</w:t>
            </w:r>
            <w:r w:rsidRPr="0048317D">
              <w:rPr>
                <w:color w:val="0E101A"/>
                <w:sz w:val="28"/>
                <w:szCs w:val="28"/>
              </w:rPr>
              <w:t> </w:t>
            </w:r>
            <w:r w:rsidRPr="00DE746A">
              <w:rPr>
                <w:color w:val="0E101A"/>
                <w:sz w:val="28"/>
                <w:szCs w:val="28"/>
              </w:rPr>
              <w:t xml:space="preserve">Relocated the pagination labels and buttons on the Registration Tasks dashboard of the DME web application </w:t>
            </w:r>
            <w:r>
              <w:rPr>
                <w:color w:val="0E101A"/>
                <w:sz w:val="28"/>
                <w:szCs w:val="28"/>
              </w:rPr>
              <w:t>for</w:t>
            </w:r>
            <w:r w:rsidRPr="00DE746A">
              <w:rPr>
                <w:color w:val="0E101A"/>
                <w:sz w:val="28"/>
                <w:szCs w:val="28"/>
              </w:rPr>
              <w:t xml:space="preserve"> improve</w:t>
            </w:r>
            <w:r>
              <w:rPr>
                <w:color w:val="0E101A"/>
                <w:sz w:val="28"/>
                <w:szCs w:val="28"/>
              </w:rPr>
              <w:t>d</w:t>
            </w:r>
            <w:r w:rsidRPr="00DE746A">
              <w:rPr>
                <w:color w:val="0E101A"/>
                <w:sz w:val="28"/>
                <w:szCs w:val="28"/>
              </w:rPr>
              <w:t xml:space="preserve"> user intuitiveness and easier navigation.</w:t>
            </w:r>
          </w:p>
          <w:p w14:paraId="65951FB2" w14:textId="77777777" w:rsidR="00DE746A" w:rsidRPr="00DE746A" w:rsidRDefault="00DE746A" w:rsidP="00DE746A">
            <w:pPr>
              <w:pStyle w:val="NormalWeb"/>
              <w:spacing w:before="0" w:beforeAutospacing="0" w:after="0" w:afterAutospacing="0"/>
              <w:rPr>
                <w:color w:val="0E101A"/>
                <w:sz w:val="28"/>
                <w:szCs w:val="28"/>
              </w:rPr>
            </w:pPr>
          </w:p>
          <w:p w14:paraId="24EDCB61" w14:textId="491BE8F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HPCDATAMGM-1906</w:t>
            </w:r>
            <w:r w:rsidRPr="00DE746A">
              <w:rPr>
                <w:color w:val="0E101A"/>
                <w:sz w:val="28"/>
                <w:szCs w:val="28"/>
              </w:rPr>
              <w:t>: Fixed issue of </w:t>
            </w:r>
            <w:r w:rsidRPr="00DE746A">
              <w:rPr>
                <w:rStyle w:val="Emphasis"/>
                <w:color w:val="0E101A"/>
                <w:sz w:val="28"/>
                <w:szCs w:val="28"/>
              </w:rPr>
              <w:t>dm_generate_token</w:t>
            </w:r>
            <w:r w:rsidRPr="00DE746A">
              <w:rPr>
                <w:color w:val="0E101A"/>
                <w:sz w:val="28"/>
                <w:szCs w:val="28"/>
              </w:rPr>
              <w:t> </w:t>
            </w:r>
            <w:r w:rsidR="00413346">
              <w:rPr>
                <w:color w:val="0E101A"/>
                <w:sz w:val="28"/>
                <w:szCs w:val="28"/>
              </w:rPr>
              <w:t xml:space="preserve">CLU </w:t>
            </w:r>
            <w:r w:rsidRPr="00DE746A">
              <w:rPr>
                <w:color w:val="0E101A"/>
                <w:sz w:val="28"/>
                <w:szCs w:val="28"/>
              </w:rPr>
              <w:t>command giving error due to missing temp folder. </w:t>
            </w:r>
          </w:p>
          <w:p w14:paraId="51A0084D" w14:textId="77777777" w:rsidR="00DE746A" w:rsidRPr="00DE746A" w:rsidRDefault="00DE746A" w:rsidP="00DE746A">
            <w:pPr>
              <w:pStyle w:val="NormalWeb"/>
              <w:spacing w:before="0" w:beforeAutospacing="0" w:after="0" w:afterAutospacing="0"/>
              <w:rPr>
                <w:color w:val="0E101A"/>
                <w:sz w:val="28"/>
                <w:szCs w:val="28"/>
              </w:rPr>
            </w:pPr>
          </w:p>
          <w:p w14:paraId="036B576E" w14:textId="1BC22C89" w:rsid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HPCDATAMGM-1907</w:t>
            </w:r>
            <w:r w:rsidRPr="00DE746A">
              <w:rPr>
                <w:color w:val="0E101A"/>
                <w:sz w:val="28"/>
                <w:szCs w:val="28"/>
              </w:rPr>
              <w:t>: Fixed issue</w:t>
            </w:r>
            <w:r w:rsidR="00413346">
              <w:rPr>
                <w:color w:val="0E101A"/>
                <w:sz w:val="28"/>
                <w:szCs w:val="28"/>
              </w:rPr>
              <w:t xml:space="preserve"> </w:t>
            </w:r>
            <w:r w:rsidRPr="00DE746A">
              <w:rPr>
                <w:color w:val="0E101A"/>
                <w:sz w:val="28"/>
                <w:szCs w:val="28"/>
              </w:rPr>
              <w:t>with </w:t>
            </w:r>
            <w:r w:rsidRPr="00DE746A">
              <w:rPr>
                <w:rStyle w:val="Emphasis"/>
                <w:color w:val="0E101A"/>
                <w:sz w:val="28"/>
                <w:szCs w:val="28"/>
              </w:rPr>
              <w:t>dm_download_dataobject_globus</w:t>
            </w:r>
            <w:r w:rsidRPr="00DE746A">
              <w:rPr>
                <w:color w:val="0E101A"/>
                <w:sz w:val="28"/>
                <w:szCs w:val="28"/>
              </w:rPr>
              <w:t> </w:t>
            </w:r>
            <w:r w:rsidR="00413346">
              <w:rPr>
                <w:color w:val="0E101A"/>
                <w:sz w:val="28"/>
                <w:szCs w:val="28"/>
              </w:rPr>
              <w:t xml:space="preserve">CLU </w:t>
            </w:r>
            <w:r w:rsidRPr="00DE746A">
              <w:rPr>
                <w:color w:val="0E101A"/>
                <w:sz w:val="28"/>
                <w:szCs w:val="28"/>
              </w:rPr>
              <w:t>generating error for single file download.</w:t>
            </w:r>
          </w:p>
          <w:p w14:paraId="29B7CB2B" w14:textId="77777777" w:rsidR="0048317D" w:rsidRDefault="0048317D" w:rsidP="00DE746A">
            <w:pPr>
              <w:pStyle w:val="NormalWeb"/>
              <w:spacing w:before="0" w:beforeAutospacing="0" w:after="0" w:afterAutospacing="0"/>
              <w:rPr>
                <w:color w:val="0E101A"/>
                <w:sz w:val="28"/>
                <w:szCs w:val="28"/>
              </w:rPr>
            </w:pPr>
          </w:p>
          <w:p w14:paraId="1A93A3E8" w14:textId="77777777" w:rsidR="0048317D" w:rsidRPr="00413346" w:rsidRDefault="0048317D" w:rsidP="0048317D">
            <w:pPr>
              <w:pStyle w:val="NormalWeb"/>
              <w:spacing w:before="0" w:beforeAutospacing="0" w:after="0" w:afterAutospacing="0"/>
              <w:rPr>
                <w:color w:val="0E101A"/>
                <w:sz w:val="28"/>
                <w:szCs w:val="28"/>
              </w:rPr>
            </w:pPr>
            <w:r w:rsidRPr="00413346">
              <w:rPr>
                <w:color w:val="0E101A"/>
                <w:sz w:val="28"/>
                <w:szCs w:val="28"/>
                <w:u w:val="single"/>
              </w:rPr>
              <w:lastRenderedPageBreak/>
              <w:t>DMESUPPORT-90</w:t>
            </w:r>
            <w:r>
              <w:rPr>
                <w:color w:val="0E101A"/>
                <w:sz w:val="28"/>
                <w:szCs w:val="28"/>
                <w:u w:val="single"/>
              </w:rPr>
              <w:t>:</w:t>
            </w:r>
            <w:r w:rsidRPr="0048317D">
              <w:rPr>
                <w:color w:val="0E101A"/>
                <w:sz w:val="28"/>
                <w:szCs w:val="28"/>
              </w:rPr>
              <w:t xml:space="preserve"> </w:t>
            </w:r>
            <w:r w:rsidRPr="00413346">
              <w:rPr>
                <w:color w:val="0E101A"/>
                <w:sz w:val="28"/>
                <w:szCs w:val="28"/>
              </w:rPr>
              <w:t xml:space="preserve">Enhanced the automated email notification </w:t>
            </w:r>
            <w:r>
              <w:rPr>
                <w:color w:val="0E101A"/>
                <w:sz w:val="28"/>
                <w:szCs w:val="28"/>
              </w:rPr>
              <w:t xml:space="preserve">from </w:t>
            </w:r>
            <w:r w:rsidRPr="00413346">
              <w:rPr>
                <w:color w:val="0E101A"/>
                <w:sz w:val="28"/>
                <w:szCs w:val="28"/>
              </w:rPr>
              <w:t>the DME archival workflow to indicate execution failures in the Subject line. Previously, errors were flagged only in the body of the email. </w:t>
            </w:r>
          </w:p>
          <w:p w14:paraId="32EF1F61" w14:textId="77777777" w:rsidR="0048317D" w:rsidRPr="00DE746A" w:rsidRDefault="0048317D" w:rsidP="00DE746A">
            <w:pPr>
              <w:pStyle w:val="NormalWeb"/>
              <w:spacing w:before="0" w:beforeAutospacing="0" w:after="0" w:afterAutospacing="0"/>
              <w:rPr>
                <w:color w:val="0E101A"/>
                <w:sz w:val="28"/>
                <w:szCs w:val="28"/>
              </w:rPr>
            </w:pPr>
          </w:p>
          <w:p w14:paraId="4805C830" w14:textId="77777777" w:rsidR="00DE746A" w:rsidRDefault="00DE746A" w:rsidP="00DE746A">
            <w:pPr>
              <w:pStyle w:val="NormalWeb"/>
              <w:spacing w:before="0" w:beforeAutospacing="0" w:after="0" w:afterAutospacing="0"/>
              <w:rPr>
                <w:color w:val="0E101A"/>
              </w:rPr>
            </w:pPr>
            <w:r>
              <w:rPr>
                <w:color w:val="0E101A"/>
              </w:rPr>
              <w:t> </w:t>
            </w: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4D6C06DC" w14:textId="77777777" w:rsidR="00DE746A" w:rsidRDefault="00DE746A" w:rsidP="00793023">
            <w:pPr>
              <w:rPr>
                <w:b/>
                <w:bCs/>
                <w:sz w:val="28"/>
                <w:szCs w:val="28"/>
                <w:u w:val="single"/>
              </w:rPr>
            </w:pPr>
          </w:p>
          <w:p w14:paraId="6FFB6F6E" w14:textId="41147363" w:rsidR="00DE746A" w:rsidRPr="00413346" w:rsidRDefault="00DE746A" w:rsidP="00DE746A">
            <w:pPr>
              <w:pStyle w:val="NormalWeb"/>
              <w:spacing w:before="0" w:beforeAutospacing="0" w:after="0" w:afterAutospacing="0"/>
              <w:rPr>
                <w:color w:val="0E101A"/>
                <w:sz w:val="28"/>
                <w:szCs w:val="28"/>
              </w:rPr>
            </w:pPr>
            <w:r w:rsidRPr="00413346">
              <w:rPr>
                <w:color w:val="0E101A"/>
                <w:sz w:val="28"/>
                <w:szCs w:val="28"/>
                <w:u w:val="single"/>
              </w:rPr>
              <w:t>HPCDATAMGM-190</w:t>
            </w:r>
            <w:r w:rsidR="0048317D">
              <w:rPr>
                <w:color w:val="0E101A"/>
                <w:sz w:val="28"/>
                <w:szCs w:val="28"/>
                <w:u w:val="single"/>
              </w:rPr>
              <w:t>1</w:t>
            </w:r>
            <w:r w:rsidRPr="00413346">
              <w:rPr>
                <w:color w:val="0E101A"/>
                <w:sz w:val="28"/>
                <w:szCs w:val="28"/>
                <w:u w:val="single"/>
              </w:rPr>
              <w:t>:</w:t>
            </w:r>
            <w:r w:rsidRPr="00413346">
              <w:rPr>
                <w:color w:val="0E101A"/>
                <w:sz w:val="28"/>
                <w:szCs w:val="28"/>
              </w:rPr>
              <w:t> Added a background process to check for duplicate metadata</w:t>
            </w:r>
            <w:r w:rsidR="009548A7">
              <w:rPr>
                <w:color w:val="0E101A"/>
                <w:sz w:val="28"/>
                <w:szCs w:val="28"/>
              </w:rPr>
              <w:t xml:space="preserve"> in a newly uploaded file or collection</w:t>
            </w:r>
            <w:r w:rsidRPr="00413346">
              <w:rPr>
                <w:color w:val="0E101A"/>
                <w:sz w:val="28"/>
                <w:szCs w:val="28"/>
              </w:rPr>
              <w:t>. </w:t>
            </w:r>
          </w:p>
          <w:p w14:paraId="7BD13756" w14:textId="77777777" w:rsidR="00DE746A" w:rsidRPr="00413346" w:rsidRDefault="00DE746A" w:rsidP="00DE746A">
            <w:pPr>
              <w:pStyle w:val="NormalWeb"/>
              <w:spacing w:before="0" w:beforeAutospacing="0" w:after="0" w:afterAutospacing="0"/>
              <w:rPr>
                <w:color w:val="0E101A"/>
                <w:sz w:val="28"/>
                <w:szCs w:val="28"/>
              </w:rPr>
            </w:pPr>
          </w:p>
          <w:p w14:paraId="2444E27E" w14:textId="77777777" w:rsidR="00DE746A" w:rsidRPr="00413346" w:rsidRDefault="00DE746A" w:rsidP="00DE746A">
            <w:pPr>
              <w:pStyle w:val="NormalWeb"/>
              <w:spacing w:before="0" w:beforeAutospacing="0" w:after="0" w:afterAutospacing="0"/>
              <w:rPr>
                <w:color w:val="0E101A"/>
                <w:sz w:val="28"/>
                <w:szCs w:val="28"/>
              </w:rPr>
            </w:pPr>
            <w:r w:rsidRPr="00413346">
              <w:rPr>
                <w:color w:val="0E101A"/>
                <w:sz w:val="28"/>
                <w:szCs w:val="28"/>
                <w:u w:val="single"/>
              </w:rPr>
              <w:t>HPCDATAMGM-1868, 1869, 1876</w:t>
            </w:r>
            <w:r w:rsidRPr="00413346">
              <w:rPr>
                <w:color w:val="0E101A"/>
                <w:sz w:val="28"/>
                <w:szCs w:val="28"/>
              </w:rPr>
              <w:t>: Performed tech stack upgrade of the DME web application and the DME core API as a precursor to the DME modernization effort. This included upgrade of Java from 8 to 11 for these 2 subsystems. </w:t>
            </w:r>
          </w:p>
          <w:p w14:paraId="4D21E15B" w14:textId="77777777" w:rsidR="00DE746A" w:rsidRPr="003D3056" w:rsidRDefault="00DE746A" w:rsidP="00793023">
            <w:pPr>
              <w:rPr>
                <w:b/>
                <w:bCs/>
                <w:sz w:val="28"/>
                <w:szCs w:val="28"/>
                <w:u w:val="single"/>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69C6E8" w14:textId="37FE4F2B" w:rsidR="009548A7" w:rsidRPr="009548A7" w:rsidRDefault="00413346" w:rsidP="009548A7">
            <w:pPr>
              <w:rPr>
                <w:sz w:val="28"/>
                <w:szCs w:val="28"/>
              </w:rPr>
            </w:pPr>
            <w:r w:rsidRPr="009548A7">
              <w:rPr>
                <w:sz w:val="28"/>
                <w:szCs w:val="28"/>
              </w:rPr>
              <w:t>If you us</w:t>
            </w:r>
            <w:r w:rsidR="009548A7">
              <w:rPr>
                <w:sz w:val="28"/>
                <w:szCs w:val="28"/>
              </w:rPr>
              <w:t>e CLU</w:t>
            </w:r>
            <w:r w:rsidRPr="009548A7">
              <w:rPr>
                <w:sz w:val="28"/>
                <w:szCs w:val="28"/>
              </w:rPr>
              <w:t xml:space="preserve">, please </w:t>
            </w:r>
            <w:r w:rsidR="009548A7" w:rsidRPr="009548A7">
              <w:rPr>
                <w:sz w:val="28"/>
                <w:szCs w:val="28"/>
              </w:rPr>
              <w:t>note the follow</w:t>
            </w:r>
            <w:r w:rsidR="007D7934">
              <w:rPr>
                <w:sz w:val="28"/>
                <w:szCs w:val="28"/>
              </w:rPr>
              <w:t>ing</w:t>
            </w:r>
            <w:r w:rsidR="009548A7" w:rsidRPr="009548A7">
              <w:rPr>
                <w:sz w:val="28"/>
                <w:szCs w:val="28"/>
              </w:rPr>
              <w:t xml:space="preserve">: </w:t>
            </w:r>
          </w:p>
          <w:p w14:paraId="0352F2F0" w14:textId="5F72238D" w:rsidR="00413346" w:rsidRPr="009548A7" w:rsidRDefault="00441178" w:rsidP="009548A7">
            <w:pPr>
              <w:pStyle w:val="ListParagraph"/>
              <w:numPr>
                <w:ilvl w:val="0"/>
                <w:numId w:val="47"/>
              </w:numPr>
              <w:rPr>
                <w:sz w:val="28"/>
                <w:szCs w:val="28"/>
              </w:rPr>
            </w:pPr>
            <w:r>
              <w:rPr>
                <w:sz w:val="28"/>
                <w:szCs w:val="28"/>
              </w:rPr>
              <w:t>Perform a git pull and r</w:t>
            </w:r>
            <w:r w:rsidR="00413346" w:rsidRPr="009548A7">
              <w:rPr>
                <w:sz w:val="28"/>
                <w:szCs w:val="28"/>
              </w:rPr>
              <w:t xml:space="preserve">egenerate your token using the </w:t>
            </w:r>
            <w:r w:rsidR="00413346" w:rsidRPr="009548A7">
              <w:rPr>
                <w:i/>
                <w:iCs/>
                <w:sz w:val="28"/>
                <w:szCs w:val="28"/>
              </w:rPr>
              <w:t>dm_generate_token</w:t>
            </w:r>
            <w:r w:rsidR="00413346" w:rsidRPr="009548A7">
              <w:rPr>
                <w:sz w:val="28"/>
                <w:szCs w:val="28"/>
              </w:rPr>
              <w:t xml:space="preserve"> CLU command. Your </w:t>
            </w:r>
            <w:r w:rsidR="009548A7">
              <w:rPr>
                <w:sz w:val="28"/>
                <w:szCs w:val="28"/>
              </w:rPr>
              <w:t xml:space="preserve">existing </w:t>
            </w:r>
            <w:r w:rsidR="00413346" w:rsidRPr="009548A7">
              <w:rPr>
                <w:sz w:val="28"/>
                <w:szCs w:val="28"/>
              </w:rPr>
              <w:t xml:space="preserve">token will not be </w:t>
            </w:r>
            <w:r w:rsidR="009548A7">
              <w:rPr>
                <w:sz w:val="28"/>
                <w:szCs w:val="28"/>
              </w:rPr>
              <w:t>accepted</w:t>
            </w:r>
            <w:r w:rsidR="00413346" w:rsidRPr="009548A7">
              <w:rPr>
                <w:sz w:val="28"/>
                <w:szCs w:val="28"/>
              </w:rPr>
              <w:t xml:space="preserve"> by the new application server</w:t>
            </w:r>
            <w:r w:rsidR="009548A7">
              <w:rPr>
                <w:sz w:val="28"/>
                <w:szCs w:val="28"/>
              </w:rPr>
              <w:t xml:space="preserve">.                        </w:t>
            </w:r>
          </w:p>
          <w:p w14:paraId="50177E5A" w14:textId="374964EC" w:rsidR="00037C99" w:rsidRPr="009548A7" w:rsidRDefault="00037C99" w:rsidP="009548A7">
            <w:pPr>
              <w:pStyle w:val="ListParagraph"/>
              <w:numPr>
                <w:ilvl w:val="0"/>
                <w:numId w:val="47"/>
              </w:numPr>
              <w:rPr>
                <w:rStyle w:val="s1"/>
                <w:sz w:val="28"/>
                <w:szCs w:val="28"/>
              </w:rPr>
            </w:pPr>
            <w:r w:rsidRPr="009548A7">
              <w:rPr>
                <w:color w:val="212121"/>
                <w:sz w:val="28"/>
                <w:szCs w:val="28"/>
              </w:rPr>
              <w:t>The DME CLU</w:t>
            </w:r>
            <w:r w:rsidR="008E17A3" w:rsidRPr="009548A7">
              <w:rPr>
                <w:color w:val="212121"/>
                <w:sz w:val="28"/>
                <w:szCs w:val="28"/>
              </w:rPr>
              <w:t>s are being</w:t>
            </w:r>
            <w:r w:rsidRPr="009548A7">
              <w:rPr>
                <w:color w:val="212121"/>
                <w:sz w:val="28"/>
                <w:szCs w:val="28"/>
              </w:rPr>
              <w:t xml:space="preserve"> upgraded to run on Java 11. We will remove support for Java 8 from release 3.1 onwards, </w:t>
            </w:r>
            <w:r w:rsidR="008E17A3" w:rsidRPr="009548A7">
              <w:rPr>
                <w:color w:val="212121"/>
                <w:sz w:val="28"/>
                <w:szCs w:val="28"/>
              </w:rPr>
              <w:t xml:space="preserve">which </w:t>
            </w:r>
            <w:r w:rsidR="009427F5" w:rsidRPr="009548A7">
              <w:rPr>
                <w:color w:val="212121"/>
                <w:sz w:val="28"/>
                <w:szCs w:val="28"/>
              </w:rPr>
              <w:t xml:space="preserve">is </w:t>
            </w:r>
            <w:r w:rsidRPr="009548A7">
              <w:rPr>
                <w:color w:val="212121"/>
                <w:sz w:val="28"/>
                <w:szCs w:val="28"/>
              </w:rPr>
              <w:t xml:space="preserve">scheduled for deployment on April 29. </w:t>
            </w:r>
            <w:r w:rsidR="009548A7">
              <w:rPr>
                <w:color w:val="212121"/>
                <w:sz w:val="28"/>
                <w:szCs w:val="28"/>
              </w:rPr>
              <w:t>Hence</w:t>
            </w:r>
            <w:r w:rsidRPr="009548A7">
              <w:rPr>
                <w:color w:val="212121"/>
                <w:sz w:val="28"/>
                <w:szCs w:val="28"/>
              </w:rPr>
              <w:t xml:space="preserve"> ensure that the client machines on which you run the CLU</w:t>
            </w:r>
            <w:r w:rsidR="00172226">
              <w:rPr>
                <w:color w:val="212121"/>
                <w:sz w:val="28"/>
                <w:szCs w:val="28"/>
              </w:rPr>
              <w:t xml:space="preserve"> </w:t>
            </w:r>
            <w:r w:rsidRPr="009548A7">
              <w:rPr>
                <w:color w:val="212121"/>
                <w:sz w:val="28"/>
                <w:szCs w:val="28"/>
              </w:rPr>
              <w:t xml:space="preserve">have JDK 11 installed prior to that. If you run the CLU only on </w:t>
            </w:r>
            <w:r w:rsidR="009548A7">
              <w:rPr>
                <w:color w:val="212121"/>
                <w:sz w:val="28"/>
                <w:szCs w:val="28"/>
              </w:rPr>
              <w:t>Helix/</w:t>
            </w:r>
            <w:r w:rsidRPr="009548A7">
              <w:rPr>
                <w:color w:val="212121"/>
                <w:sz w:val="28"/>
                <w:szCs w:val="28"/>
              </w:rPr>
              <w:t>Biowulf, then no action is required.</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48317D">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48317D">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AB604E"/>
    <w:multiLevelType w:val="hybridMultilevel"/>
    <w:tmpl w:val="CD7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9"/>
  </w:num>
  <w:num w:numId="2" w16cid:durableId="451244721">
    <w:abstractNumId w:val="10"/>
  </w:num>
  <w:num w:numId="3" w16cid:durableId="1463882850">
    <w:abstractNumId w:val="23"/>
  </w:num>
  <w:num w:numId="4" w16cid:durableId="1488784603">
    <w:abstractNumId w:val="44"/>
  </w:num>
  <w:num w:numId="5" w16cid:durableId="674310880">
    <w:abstractNumId w:val="4"/>
  </w:num>
  <w:num w:numId="6" w16cid:durableId="1155488875">
    <w:abstractNumId w:val="26"/>
  </w:num>
  <w:num w:numId="7" w16cid:durableId="332683224">
    <w:abstractNumId w:val="7"/>
  </w:num>
  <w:num w:numId="8" w16cid:durableId="878709775">
    <w:abstractNumId w:val="18"/>
  </w:num>
  <w:num w:numId="9" w16cid:durableId="735319184">
    <w:abstractNumId w:val="3"/>
  </w:num>
  <w:num w:numId="10" w16cid:durableId="301008134">
    <w:abstractNumId w:val="21"/>
  </w:num>
  <w:num w:numId="11" w16cid:durableId="1873610590">
    <w:abstractNumId w:val="45"/>
  </w:num>
  <w:num w:numId="12" w16cid:durableId="963775281">
    <w:abstractNumId w:val="11"/>
  </w:num>
  <w:num w:numId="13" w16cid:durableId="667829442">
    <w:abstractNumId w:val="5"/>
  </w:num>
  <w:num w:numId="14" w16cid:durableId="177893120">
    <w:abstractNumId w:val="40"/>
  </w:num>
  <w:num w:numId="15" w16cid:durableId="410351357">
    <w:abstractNumId w:val="12"/>
  </w:num>
  <w:num w:numId="16" w16cid:durableId="1806703155">
    <w:abstractNumId w:val="20"/>
  </w:num>
  <w:num w:numId="17" w16cid:durableId="1743019587">
    <w:abstractNumId w:val="37"/>
  </w:num>
  <w:num w:numId="18" w16cid:durableId="1552351326">
    <w:abstractNumId w:val="28"/>
  </w:num>
  <w:num w:numId="19" w16cid:durableId="290521623">
    <w:abstractNumId w:val="25"/>
  </w:num>
  <w:num w:numId="20" w16cid:durableId="1781338699">
    <w:abstractNumId w:val="38"/>
  </w:num>
  <w:num w:numId="21" w16cid:durableId="973221046">
    <w:abstractNumId w:val="39"/>
  </w:num>
  <w:num w:numId="22" w16cid:durableId="1923492650">
    <w:abstractNumId w:val="13"/>
  </w:num>
  <w:num w:numId="23" w16cid:durableId="1693799042">
    <w:abstractNumId w:val="29"/>
  </w:num>
  <w:num w:numId="24" w16cid:durableId="1311980621">
    <w:abstractNumId w:val="27"/>
  </w:num>
  <w:num w:numId="25" w16cid:durableId="81949994">
    <w:abstractNumId w:val="2"/>
  </w:num>
  <w:num w:numId="26" w16cid:durableId="1698506068">
    <w:abstractNumId w:val="36"/>
  </w:num>
  <w:num w:numId="27" w16cid:durableId="1880891349">
    <w:abstractNumId w:val="16"/>
  </w:num>
  <w:num w:numId="28" w16cid:durableId="774833384">
    <w:abstractNumId w:val="9"/>
  </w:num>
  <w:num w:numId="29" w16cid:durableId="620185163">
    <w:abstractNumId w:val="1"/>
  </w:num>
  <w:num w:numId="30" w16cid:durableId="734203346">
    <w:abstractNumId w:val="22"/>
  </w:num>
  <w:num w:numId="31" w16cid:durableId="1230265488">
    <w:abstractNumId w:val="8"/>
  </w:num>
  <w:num w:numId="32" w16cid:durableId="609437760">
    <w:abstractNumId w:val="34"/>
  </w:num>
  <w:num w:numId="33" w16cid:durableId="1683236372">
    <w:abstractNumId w:val="0"/>
  </w:num>
  <w:num w:numId="34" w16cid:durableId="659893969">
    <w:abstractNumId w:val="17"/>
  </w:num>
  <w:num w:numId="35" w16cid:durableId="2013363660">
    <w:abstractNumId w:val="32"/>
  </w:num>
  <w:num w:numId="36" w16cid:durableId="323120363">
    <w:abstractNumId w:val="30"/>
  </w:num>
  <w:num w:numId="37" w16cid:durableId="688339178">
    <w:abstractNumId w:val="43"/>
  </w:num>
  <w:num w:numId="38" w16cid:durableId="913706108">
    <w:abstractNumId w:val="6"/>
  </w:num>
  <w:num w:numId="39" w16cid:durableId="271519681">
    <w:abstractNumId w:val="42"/>
  </w:num>
  <w:num w:numId="40" w16cid:durableId="1029448763">
    <w:abstractNumId w:val="15"/>
  </w:num>
  <w:num w:numId="41" w16cid:durableId="754088065">
    <w:abstractNumId w:val="33"/>
  </w:num>
  <w:num w:numId="42" w16cid:durableId="1636177242">
    <w:abstractNumId w:val="31"/>
  </w:num>
  <w:num w:numId="43" w16cid:durableId="880748338">
    <w:abstractNumId w:val="35"/>
  </w:num>
  <w:num w:numId="44" w16cid:durableId="1994210075">
    <w:abstractNumId w:val="32"/>
  </w:num>
  <w:num w:numId="45" w16cid:durableId="93089556">
    <w:abstractNumId w:val="24"/>
  </w:num>
  <w:num w:numId="46" w16cid:durableId="29843854">
    <w:abstractNumId w:val="14"/>
  </w:num>
  <w:num w:numId="47" w16cid:durableId="123111390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37C99"/>
    <w:rsid w:val="00041137"/>
    <w:rsid w:val="0004265D"/>
    <w:rsid w:val="00042CE4"/>
    <w:rsid w:val="000432FE"/>
    <w:rsid w:val="000434DD"/>
    <w:rsid w:val="00043A0C"/>
    <w:rsid w:val="00043EF7"/>
    <w:rsid w:val="00045C43"/>
    <w:rsid w:val="000473BE"/>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9FF"/>
    <w:rsid w:val="000B23B7"/>
    <w:rsid w:val="000B2A1B"/>
    <w:rsid w:val="000B3EA1"/>
    <w:rsid w:val="000B4DB4"/>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E7574"/>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226"/>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178"/>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17D"/>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1998"/>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D793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110"/>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B6DCC"/>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7F5"/>
    <w:rsid w:val="00942AD9"/>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86978"/>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48C0"/>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4365"/>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5F8"/>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2B3D"/>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278AF"/>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B5CF2"/>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13</cp:revision>
  <dcterms:created xsi:type="dcterms:W3CDTF">2024-03-27T17:38:00Z</dcterms:created>
  <dcterms:modified xsi:type="dcterms:W3CDTF">2024-03-27T21:43:00Z</dcterms:modified>
</cp:coreProperties>
</file>