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15" w:type="dxa"/>
        <w:tblInd w:w="-55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"/>
        <w:gridCol w:w="2728"/>
        <w:gridCol w:w="2634"/>
        <w:gridCol w:w="1162"/>
        <w:gridCol w:w="5507"/>
      </w:tblGrid>
      <w:tr w:rsidR="002F500F" w:rsidTr="001D37D5">
        <w:trPr>
          <w:trHeight w:val="815"/>
          <w:tblCellSpacing w:w="15" w:type="dxa"/>
        </w:trPr>
        <w:tc>
          <w:tcPr>
            <w:tcW w:w="3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 w:rsidP="002F50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JDACS4C Pilot</w:t>
            </w:r>
          </w:p>
        </w:tc>
        <w:tc>
          <w:tcPr>
            <w:tcW w:w="10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 w:rsidP="002F50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100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 w:rsidP="002F50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Author(s)</w:t>
            </w:r>
          </w:p>
        </w:tc>
        <w:tc>
          <w:tcPr>
            <w:tcW w:w="43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 w:rsidP="002F50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 w:rsidP="002F50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</w:t>
            </w:r>
          </w:p>
        </w:tc>
      </w:tr>
      <w:tr w:rsidR="002F500F" w:rsidTr="001D37D5">
        <w:trPr>
          <w:trHeight w:val="1343"/>
          <w:tblCellSpacing w:w="15" w:type="dxa"/>
        </w:trPr>
        <w:tc>
          <w:tcPr>
            <w:tcW w:w="3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t>2</w:t>
            </w:r>
          </w:p>
        </w:tc>
        <w:tc>
          <w:tcPr>
            <w:tcW w:w="10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t>“Computational Lipidomics of the Neuronal Plasma Membrane”</w:t>
            </w:r>
          </w:p>
        </w:tc>
        <w:tc>
          <w:tcPr>
            <w:tcW w:w="100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t>H.I. Ingólfsson, T.S. Carpenter, H. Bhatia, P.T. Bremer, S.J. Marrink, F.C. Lightstone</w:t>
            </w:r>
          </w:p>
        </w:tc>
        <w:tc>
          <w:tcPr>
            <w:tcW w:w="43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t>2017</w:t>
            </w:r>
          </w:p>
        </w:tc>
        <w:tc>
          <w:tcPr>
            <w:tcW w:w="2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t xml:space="preserve">Biophys. J.  113:2271–2280, 2017. open access, DOI: </w:t>
            </w:r>
            <w:hyperlink r:id="rId4" w:history="1">
              <w:r>
                <w:rPr>
                  <w:rStyle w:val="Hyperlink"/>
                </w:rPr>
                <w:t>http://dx.doi.org/10.1016/j.bpj.2017.10.017</w:t>
              </w:r>
            </w:hyperlink>
          </w:p>
        </w:tc>
      </w:tr>
      <w:tr w:rsidR="002F500F" w:rsidTr="001D37D5">
        <w:trPr>
          <w:trHeight w:val="1343"/>
          <w:tblCellSpacing w:w="15" w:type="dxa"/>
        </w:trPr>
        <w:tc>
          <w:tcPr>
            <w:tcW w:w="3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t>2</w:t>
            </w:r>
          </w:p>
        </w:tc>
        <w:tc>
          <w:tcPr>
            <w:tcW w:w="10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t>“K-Ras4B Remains Monomeric on Membranes over a Wide Range of Surface Densities and Lipid Compositions”</w:t>
            </w:r>
          </w:p>
        </w:tc>
        <w:tc>
          <w:tcPr>
            <w:tcW w:w="100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t>Chung JK, Lee YK, Denson JP, Gillette WK, Alvarez  S, Stephen AG, Groves JT</w:t>
            </w:r>
          </w:p>
        </w:tc>
        <w:tc>
          <w:tcPr>
            <w:tcW w:w="43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t>01/09/2018</w:t>
            </w:r>
          </w:p>
        </w:tc>
        <w:tc>
          <w:tcPr>
            <w:tcW w:w="2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t xml:space="preserve">Biophys J. 2018 Jan 9;114(1):137-145. </w:t>
            </w:r>
            <w:hyperlink r:id="rId5" w:history="1">
              <w:r>
                <w:rPr>
                  <w:rStyle w:val="Hyperlink"/>
                </w:rPr>
                <w:t xml:space="preserve">http://dx.doi.org/10.1016/j.bpj.2017.10.042 </w:t>
              </w:r>
            </w:hyperlink>
            <w:r>
              <w:t>PubMed PMID: 29320680</w:t>
            </w:r>
          </w:p>
        </w:tc>
      </w:tr>
      <w:tr w:rsidR="002F500F" w:rsidTr="001D37D5">
        <w:trPr>
          <w:trHeight w:val="1343"/>
          <w:tblCellSpacing w:w="15" w:type="dxa"/>
        </w:trPr>
        <w:tc>
          <w:tcPr>
            <w:tcW w:w="3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t>3</w:t>
            </w:r>
          </w:p>
        </w:tc>
        <w:tc>
          <w:tcPr>
            <w:tcW w:w="10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t>"Hierarchical Attention Networks for Information Extraction from Cancer Pathology Reports"</w:t>
            </w:r>
          </w:p>
        </w:tc>
        <w:tc>
          <w:tcPr>
            <w:tcW w:w="100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t>S. Gao, M.T. Young, J.X. Qiu, J.B. Christian, P.A. Fearn, G.D. Tourassi, A. Ramanathan</w:t>
            </w:r>
          </w:p>
        </w:tc>
        <w:tc>
          <w:tcPr>
            <w:tcW w:w="43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t>11/2017</w:t>
            </w:r>
          </w:p>
        </w:tc>
        <w:tc>
          <w:tcPr>
            <w:tcW w:w="2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t>Journal of American Medical Informatics Association</w:t>
            </w:r>
            <w:r w:rsidR="002172A5">
              <w:t xml:space="preserve"> 25(3): 321-330</w:t>
            </w:r>
            <w:r w:rsidR="004237ED">
              <w:t>, 2018</w:t>
            </w:r>
          </w:p>
        </w:tc>
      </w:tr>
      <w:tr w:rsidR="002F500F" w:rsidTr="001D37D5">
        <w:trPr>
          <w:trHeight w:val="1343"/>
          <w:tblCellSpacing w:w="15" w:type="dxa"/>
        </w:trPr>
        <w:tc>
          <w:tcPr>
            <w:tcW w:w="3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t>3</w:t>
            </w:r>
          </w:p>
        </w:tc>
        <w:tc>
          <w:tcPr>
            <w:tcW w:w="10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t>“Deep Learning for Automated Extraction of Primary Sites from Cancer Pathology Reports”</w:t>
            </w:r>
          </w:p>
        </w:tc>
        <w:tc>
          <w:tcPr>
            <w:tcW w:w="100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t>J.X. Qiu, H.-Y. Yoon, P.A. Fearn, G.D. Tourassi</w:t>
            </w:r>
          </w:p>
        </w:tc>
        <w:tc>
          <w:tcPr>
            <w:tcW w:w="43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t>2018</w:t>
            </w:r>
          </w:p>
        </w:tc>
        <w:tc>
          <w:tcPr>
            <w:tcW w:w="2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t>IEEE Journal of Biomedical and Health Informatics 22(1): 244-251</w:t>
            </w:r>
            <w:r w:rsidR="004237ED">
              <w:t>, 2018</w:t>
            </w:r>
            <w:bookmarkStart w:id="0" w:name="_GoBack"/>
            <w:bookmarkEnd w:id="0"/>
          </w:p>
        </w:tc>
      </w:tr>
      <w:tr w:rsidR="002F500F" w:rsidTr="001D37D5">
        <w:trPr>
          <w:trHeight w:val="1343"/>
          <w:tblCellSpacing w:w="15" w:type="dxa"/>
        </w:trPr>
        <w:tc>
          <w:tcPr>
            <w:tcW w:w="3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t>3</w:t>
            </w:r>
          </w:p>
        </w:tc>
        <w:tc>
          <w:tcPr>
            <w:tcW w:w="10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t>“Analytics Applications Using a Knowledge Graph Approach as a Secondary Use of Cancer Registry Data”</w:t>
            </w:r>
          </w:p>
        </w:tc>
        <w:tc>
          <w:tcPr>
            <w:tcW w:w="100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t>S.M. Hasan, P. Fearn, D. Rivera, X-C Wu, J.B. Christian</w:t>
            </w:r>
          </w:p>
        </w:tc>
        <w:tc>
          <w:tcPr>
            <w:tcW w:w="43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rPr>
                <w:rStyle w:val="Emphasis"/>
              </w:rPr>
              <w:t>In internal review</w:t>
            </w:r>
          </w:p>
        </w:tc>
        <w:tc>
          <w:tcPr>
            <w:tcW w:w="2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rPr>
                <w:rStyle w:val="Emphasis"/>
              </w:rPr>
              <w:t>N/A</w:t>
            </w:r>
          </w:p>
        </w:tc>
      </w:tr>
      <w:tr w:rsidR="002F500F" w:rsidTr="001D37D5">
        <w:trPr>
          <w:trHeight w:val="1343"/>
          <w:tblCellSpacing w:w="15" w:type="dxa"/>
        </w:trPr>
        <w:tc>
          <w:tcPr>
            <w:tcW w:w="3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lastRenderedPageBreak/>
              <w:t>3</w:t>
            </w:r>
          </w:p>
        </w:tc>
        <w:tc>
          <w:tcPr>
            <w:tcW w:w="10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t>“Scalable Deep Text Comprehension for Cancer Surveillance on High-Performance Computing”</w:t>
            </w:r>
          </w:p>
        </w:tc>
        <w:tc>
          <w:tcPr>
            <w:tcW w:w="100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t>J.X. Qiu, H.J. Yoon, K. Srivastava, T.P. Watson, J.B. Christian, A. Ramanathan, X-C Wu, P.A. Fearn, G.D. Tourassi</w:t>
            </w:r>
          </w:p>
        </w:tc>
        <w:tc>
          <w:tcPr>
            <w:tcW w:w="43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rPr>
                <w:rStyle w:val="Emphasis"/>
              </w:rPr>
              <w:t>In internal review</w:t>
            </w:r>
          </w:p>
        </w:tc>
        <w:tc>
          <w:tcPr>
            <w:tcW w:w="2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rPr>
                <w:rStyle w:val="Emphasis"/>
              </w:rPr>
              <w:t>N/A</w:t>
            </w:r>
          </w:p>
        </w:tc>
      </w:tr>
      <w:tr w:rsidR="002F500F" w:rsidTr="001D37D5">
        <w:trPr>
          <w:trHeight w:val="1343"/>
          <w:tblCellSpacing w:w="15" w:type="dxa"/>
        </w:trPr>
        <w:tc>
          <w:tcPr>
            <w:tcW w:w="3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t>3</w:t>
            </w:r>
          </w:p>
        </w:tc>
        <w:tc>
          <w:tcPr>
            <w:tcW w:w="10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t xml:space="preserve">“CAT: Computer Aided Triage: Improving upon the Bayes risk through </w:t>
            </w:r>
            <w:r>
              <w:rPr>
                <w:rFonts w:ascii="Cambria Math" w:hAnsi="Cambria Math"/>
              </w:rPr>
              <w:t>𝜀</w:t>
            </w:r>
            <w:r>
              <w:t>-refusal triage rules”</w:t>
            </w:r>
          </w:p>
        </w:tc>
        <w:tc>
          <w:tcPr>
            <w:tcW w:w="100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t>N. Hengartner, L. Cuellar, X-C Wu, G.D. Tourassi, J.X. Qiu, J.B. Christian, T. Bhattacharya</w:t>
            </w:r>
          </w:p>
        </w:tc>
        <w:tc>
          <w:tcPr>
            <w:tcW w:w="43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rPr>
                <w:rStyle w:val="Emphasis"/>
              </w:rPr>
              <w:t>In internal review</w:t>
            </w:r>
          </w:p>
        </w:tc>
        <w:tc>
          <w:tcPr>
            <w:tcW w:w="2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rPr>
                <w:rStyle w:val="Emphasis"/>
              </w:rPr>
              <w:t>N/A</w:t>
            </w:r>
          </w:p>
        </w:tc>
      </w:tr>
    </w:tbl>
    <w:p w:rsidR="004C4DD5" w:rsidRDefault="004237ED"/>
    <w:sectPr w:rsidR="004C4DD5" w:rsidSect="0080703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03C"/>
    <w:rsid w:val="001D37D5"/>
    <w:rsid w:val="002172A5"/>
    <w:rsid w:val="002F500F"/>
    <w:rsid w:val="004237ED"/>
    <w:rsid w:val="00632ECF"/>
    <w:rsid w:val="007F0DFB"/>
    <w:rsid w:val="0080703C"/>
    <w:rsid w:val="00F6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67E93"/>
  <w15:chartTrackingRefBased/>
  <w15:docId w15:val="{427E14F5-C392-40CF-9403-2F7142AAB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703C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0703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0703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80703C"/>
    <w:rPr>
      <w:b/>
      <w:bCs/>
    </w:rPr>
  </w:style>
  <w:style w:type="character" w:styleId="Emphasis">
    <w:name w:val="Emphasis"/>
    <w:basedOn w:val="DefaultParagraphFont"/>
    <w:uiPriority w:val="20"/>
    <w:qFormat/>
    <w:rsid w:val="008070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x.doi.org/10.1016/j.bpj.2017.10.042" TargetMode="External"/><Relationship Id="rId4" Type="http://schemas.openxmlformats.org/officeDocument/2006/relationships/hyperlink" Target="http://dx.doi.org/10.1016/j.bpj.2017.10.0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Zhengwu (NIH/NCI) [C]</dc:creator>
  <cp:keywords/>
  <dc:description/>
  <cp:lastModifiedBy>Lu, Zhengwu (NIH/NCI) [C]</cp:lastModifiedBy>
  <cp:revision>4</cp:revision>
  <dcterms:created xsi:type="dcterms:W3CDTF">2018-08-30T21:11:00Z</dcterms:created>
  <dcterms:modified xsi:type="dcterms:W3CDTF">2018-11-29T15:58:00Z</dcterms:modified>
</cp:coreProperties>
</file>