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pPr>
      <w:r>
        <w:rPr/>
        <w:t>Policy on Peer Review of Data and Safety Monitoring in Cancer Center Support</w:t>
      </w:r>
    </w:p>
    <w:p>
      <w:pPr>
        <w:spacing w:before="1"/>
        <w:ind w:left="282" w:right="697" w:firstLine="0"/>
        <w:jc w:val="center"/>
        <w:rPr>
          <w:b/>
          <w:sz w:val="28"/>
        </w:rPr>
      </w:pPr>
      <w:r>
        <w:rPr>
          <w:b/>
          <w:sz w:val="28"/>
        </w:rPr>
        <w:t>Grants</w:t>
      </w:r>
    </w:p>
    <w:p>
      <w:pPr>
        <w:pStyle w:val="BodyText"/>
        <w:spacing w:before="224"/>
        <w:ind w:left="100" w:right="835"/>
      </w:pPr>
      <w:r>
        <w:rPr/>
        <w:t>Every clinical and comprehensive NCI-designated Cancer Center is required to have an </w:t>
      </w:r>
      <w:r>
        <w:rPr>
          <w:u w:val="single"/>
        </w:rPr>
        <w:t>institutional</w:t>
      </w:r>
      <w:r>
        <w:rPr/>
        <w:t> Data and Safety Monitoring Plan (DSMP) that meets the specific requirements of the NCI (</w:t>
      </w:r>
      <w:hyperlink r:id="rId5">
        <w:r>
          <w:rPr>
            <w:u w:val="single"/>
          </w:rPr>
          <w:t>http://www.nci.nih.gov/clinical_trials/conducting/</w:t>
        </w:r>
      </w:hyperlink>
      <w:r>
        <w:rPr/>
        <w:t>).</w:t>
      </w:r>
    </w:p>
    <w:p>
      <w:pPr>
        <w:pStyle w:val="BodyText"/>
        <w:ind w:left="100" w:right="602"/>
      </w:pPr>
      <w:r>
        <w:rPr/>
        <w:t>Cancer Center Support Grant (CCSG) applications from these centers should include a  summary of the DSMP within the text of the application. According to </w:t>
      </w:r>
      <w:r>
        <w:rPr>
          <w:i/>
        </w:rPr>
        <w:t>NIH Instructions to </w:t>
      </w:r>
      <w:r>
        <w:rPr>
          <w:i/>
        </w:rPr>
        <w:t>Reviewers for Evaluating Research Involving Human Subjects in Grant and Cooperative Agreement Applications (April 5, 2002), </w:t>
      </w:r>
      <w:r>
        <w:rPr/>
        <w:t>peer reviewers will be responsible for determining the acceptability or unacceptability of the plan. The entire DSMP should be available at the site</w:t>
      </w:r>
      <w:r>
        <w:rPr>
          <w:spacing w:val="-25"/>
        </w:rPr>
        <w:t> </w:t>
      </w:r>
      <w:r>
        <w:rPr/>
        <w:t>visit in the event that peer reviewers need additional information for this determination. Peers are expected to define the weaknesses of an unacceptable DSMP. NCI program staff will bear responsibility for addressing deficiencies with the applicant and following appropriate procedures for removal of bars to</w:t>
      </w:r>
      <w:r>
        <w:rPr>
          <w:spacing w:val="-2"/>
        </w:rPr>
        <w:t> </w:t>
      </w:r>
      <w:r>
        <w:rPr/>
        <w:t>award,</w:t>
      </w:r>
    </w:p>
    <w:p>
      <w:pPr>
        <w:pStyle w:val="BodyText"/>
      </w:pPr>
    </w:p>
    <w:p>
      <w:pPr>
        <w:spacing w:before="1"/>
        <w:ind w:left="100" w:right="530" w:firstLine="0"/>
        <w:jc w:val="left"/>
        <w:rPr>
          <w:i/>
          <w:sz w:val="24"/>
        </w:rPr>
      </w:pPr>
      <w:r>
        <w:rPr>
          <w:sz w:val="24"/>
        </w:rPr>
        <w:t>CCSG applicants may request funds for implementation of the Cancer Center’s Data and Safety Monitoring Plan. Whether DSM activities are presented as part of a larger core, such as a clinical trials core, or as an independent core, the budget for this activity must be separately presented and justified. </w:t>
      </w:r>
      <w:r>
        <w:rPr>
          <w:i/>
          <w:sz w:val="24"/>
        </w:rPr>
        <w:t>If a budget for the DSM functions is not separately distinguished in the CCSG </w:t>
      </w:r>
      <w:r>
        <w:rPr>
          <w:i/>
          <w:sz w:val="24"/>
        </w:rPr>
        <w:t>application, it will not be reviewed and will not be funded.</w:t>
      </w:r>
    </w:p>
    <w:p>
      <w:pPr>
        <w:pStyle w:val="BodyText"/>
        <w:rPr>
          <w:i/>
        </w:rPr>
      </w:pPr>
    </w:p>
    <w:p>
      <w:pPr>
        <w:pStyle w:val="BodyText"/>
        <w:ind w:left="100" w:right="1141"/>
      </w:pPr>
      <w:r>
        <w:rPr/>
        <w:t>To receive support for DSMP functions, the applicant will be responsible for providing the following:</w:t>
      </w:r>
    </w:p>
    <w:p>
      <w:pPr>
        <w:pStyle w:val="BodyText"/>
      </w:pPr>
    </w:p>
    <w:p>
      <w:pPr>
        <w:pStyle w:val="ListParagraph"/>
        <w:numPr>
          <w:ilvl w:val="0"/>
          <w:numId w:val="1"/>
        </w:numPr>
        <w:tabs>
          <w:tab w:pos="759" w:val="left" w:leader="none"/>
        </w:tabs>
        <w:spacing w:line="240" w:lineRule="auto" w:before="0" w:after="0"/>
        <w:ind w:left="757" w:right="555" w:hanging="300"/>
        <w:jc w:val="left"/>
        <w:rPr>
          <w:sz w:val="24"/>
        </w:rPr>
      </w:pPr>
      <w:r>
        <w:rPr>
          <w:sz w:val="24"/>
        </w:rPr>
        <w:t>A general description of DSM functions, including the workload related to evaluation, auditing, and monitoring of various types of institutional studies, and studies supported on competitive grants (e.g., R01s). Workload related to other grants and contracts from NCI/NIH (e.g. national studies supported by the NC! Cancer Therapy Evaluation Program) and to studies conceptualized and funded by industry should not be</w:t>
      </w:r>
      <w:r>
        <w:rPr>
          <w:spacing w:val="-17"/>
          <w:sz w:val="24"/>
        </w:rPr>
        <w:t> </w:t>
      </w:r>
      <w:r>
        <w:rPr>
          <w:sz w:val="24"/>
        </w:rPr>
        <w:t>included.</w:t>
      </w:r>
    </w:p>
    <w:p>
      <w:pPr>
        <w:pStyle w:val="BodyText"/>
      </w:pPr>
    </w:p>
    <w:p>
      <w:pPr>
        <w:pStyle w:val="ListParagraph"/>
        <w:numPr>
          <w:ilvl w:val="0"/>
          <w:numId w:val="1"/>
        </w:numPr>
        <w:tabs>
          <w:tab w:pos="759" w:val="left" w:leader="none"/>
        </w:tabs>
        <w:spacing w:line="240" w:lineRule="auto" w:before="0" w:after="0"/>
        <w:ind w:left="757" w:right="548" w:hanging="300"/>
        <w:jc w:val="left"/>
        <w:rPr>
          <w:sz w:val="24"/>
        </w:rPr>
      </w:pPr>
      <w:r>
        <w:rPr>
          <w:sz w:val="24"/>
        </w:rPr>
        <w:t>A description of the committees involved in DSM processes and the biographical</w:t>
      </w:r>
      <w:r>
        <w:rPr>
          <w:spacing w:val="-30"/>
          <w:sz w:val="24"/>
        </w:rPr>
        <w:t> </w:t>
      </w:r>
      <w:r>
        <w:rPr>
          <w:sz w:val="24"/>
        </w:rPr>
        <w:t>sketches of the members of these</w:t>
      </w:r>
      <w:r>
        <w:rPr>
          <w:spacing w:val="-2"/>
          <w:sz w:val="24"/>
        </w:rPr>
        <w:t> </w:t>
      </w:r>
      <w:r>
        <w:rPr>
          <w:sz w:val="24"/>
        </w:rPr>
        <w:t>committees.</w:t>
      </w:r>
    </w:p>
    <w:p>
      <w:pPr>
        <w:pStyle w:val="BodyText"/>
      </w:pPr>
    </w:p>
    <w:p>
      <w:pPr>
        <w:pStyle w:val="BodyText"/>
        <w:ind w:left="100"/>
      </w:pPr>
      <w:r>
        <w:rPr/>
        <w:t>The peer reviewers will be responsible for determining the following:</w:t>
      </w:r>
    </w:p>
    <w:p>
      <w:pPr>
        <w:pStyle w:val="BodyText"/>
      </w:pPr>
    </w:p>
    <w:p>
      <w:pPr>
        <w:pStyle w:val="ListParagraph"/>
        <w:numPr>
          <w:ilvl w:val="0"/>
          <w:numId w:val="2"/>
        </w:numPr>
        <w:tabs>
          <w:tab w:pos="759" w:val="left" w:leader="none"/>
        </w:tabs>
        <w:spacing w:line="242" w:lineRule="auto" w:before="0" w:after="0"/>
        <w:ind w:left="758" w:right="651" w:hanging="300"/>
        <w:jc w:val="left"/>
        <w:rPr>
          <w:b/>
          <w:sz w:val="24"/>
        </w:rPr>
      </w:pPr>
      <w:r>
        <w:rPr>
          <w:sz w:val="24"/>
        </w:rPr>
        <w:t>The </w:t>
      </w:r>
      <w:r>
        <w:rPr>
          <w:b/>
          <w:sz w:val="24"/>
        </w:rPr>
        <w:t>general </w:t>
      </w:r>
      <w:r>
        <w:rPr>
          <w:sz w:val="24"/>
        </w:rPr>
        <w:t>adequacy of DSM functions for the different kinds of studies (e.g., therapeutic trial, behavioral intervention, gene therapy trial) that require evaluation, auditing, and monitoring. </w:t>
      </w:r>
      <w:r>
        <w:rPr>
          <w:b/>
          <w:sz w:val="24"/>
        </w:rPr>
        <w:t>(NOT the specific evaluation of any particular study or the audit of that</w:t>
      </w:r>
      <w:r>
        <w:rPr>
          <w:b/>
          <w:spacing w:val="-1"/>
          <w:sz w:val="24"/>
        </w:rPr>
        <w:t> </w:t>
      </w:r>
      <w:r>
        <w:rPr>
          <w:b/>
          <w:sz w:val="24"/>
        </w:rPr>
        <w:t>study.)</w:t>
      </w:r>
    </w:p>
    <w:p>
      <w:pPr>
        <w:pStyle w:val="BodyText"/>
        <w:spacing w:before="1"/>
        <w:rPr>
          <w:b/>
          <w:sz w:val="23"/>
        </w:rPr>
      </w:pPr>
    </w:p>
    <w:p>
      <w:pPr>
        <w:pStyle w:val="ListParagraph"/>
        <w:numPr>
          <w:ilvl w:val="0"/>
          <w:numId w:val="2"/>
        </w:numPr>
        <w:tabs>
          <w:tab w:pos="759" w:val="left" w:leader="none"/>
        </w:tabs>
        <w:spacing w:line="240" w:lineRule="auto" w:before="1" w:after="0"/>
        <w:ind w:left="757" w:right="660" w:hanging="300"/>
        <w:jc w:val="left"/>
        <w:rPr>
          <w:color w:val="FF0000"/>
          <w:sz w:val="24"/>
        </w:rPr>
      </w:pPr>
      <w:r>
        <w:rPr>
          <w:color w:val="FF0000"/>
          <w:sz w:val="24"/>
        </w:rPr>
        <w:t>The adequacy of the expertise of individuals serving on key committees to perform</w:t>
      </w:r>
      <w:r>
        <w:rPr>
          <w:color w:val="FF0000"/>
          <w:spacing w:val="-21"/>
          <w:sz w:val="24"/>
        </w:rPr>
        <w:t> </w:t>
      </w:r>
      <w:r>
        <w:rPr>
          <w:color w:val="FF0000"/>
          <w:sz w:val="24"/>
        </w:rPr>
        <w:t>DSM functions*.</w:t>
      </w:r>
    </w:p>
    <w:p>
      <w:pPr>
        <w:pStyle w:val="BodyText"/>
        <w:spacing w:before="11"/>
        <w:rPr>
          <w:sz w:val="23"/>
        </w:rPr>
      </w:pPr>
    </w:p>
    <w:p>
      <w:pPr>
        <w:pStyle w:val="ListParagraph"/>
        <w:numPr>
          <w:ilvl w:val="0"/>
          <w:numId w:val="2"/>
        </w:numPr>
        <w:tabs>
          <w:tab w:pos="759" w:val="left" w:leader="none"/>
        </w:tabs>
        <w:spacing w:line="240" w:lineRule="auto" w:before="0" w:after="0"/>
        <w:ind w:left="757" w:right="677" w:hanging="300"/>
        <w:jc w:val="left"/>
        <w:rPr>
          <w:sz w:val="24"/>
        </w:rPr>
      </w:pPr>
      <w:r>
        <w:rPr>
          <w:sz w:val="24"/>
        </w:rPr>
        <w:t>The appropriateness of the budget, based on the description and justification provided,</w:t>
      </w:r>
      <w:r>
        <w:rPr>
          <w:spacing w:val="-15"/>
          <w:sz w:val="24"/>
        </w:rPr>
        <w:t> </w:t>
      </w:r>
      <w:r>
        <w:rPr>
          <w:sz w:val="24"/>
        </w:rPr>
        <w:t>to support DSM</w:t>
      </w:r>
      <w:r>
        <w:rPr>
          <w:spacing w:val="-2"/>
          <w:sz w:val="24"/>
        </w:rPr>
        <w:t> </w:t>
      </w:r>
      <w:r>
        <w:rPr>
          <w:sz w:val="24"/>
        </w:rPr>
        <w:t>functions.</w:t>
      </w:r>
    </w:p>
    <w:p>
      <w:pPr>
        <w:spacing w:after="0" w:line="240" w:lineRule="auto"/>
        <w:jc w:val="left"/>
        <w:rPr>
          <w:sz w:val="24"/>
        </w:rPr>
        <w:sectPr>
          <w:type w:val="continuous"/>
          <w:pgSz w:w="12240" w:h="15840"/>
          <w:pgMar w:top="1360" w:bottom="280" w:left="1340" w:right="920"/>
        </w:sectPr>
      </w:pPr>
    </w:p>
    <w:p>
      <w:pPr>
        <w:pStyle w:val="BodyText"/>
        <w:spacing w:before="3"/>
        <w:rPr>
          <w:sz w:val="10"/>
        </w:rPr>
      </w:pPr>
    </w:p>
    <w:p>
      <w:pPr>
        <w:pStyle w:val="BodyText"/>
        <w:spacing w:before="90"/>
        <w:ind w:left="100"/>
      </w:pPr>
      <w:r>
        <w:rPr/>
        <w:t>* when a budget request is made</w:t>
      </w:r>
    </w:p>
    <w:sectPr>
      <w:pgSz w:w="12240" w:h="15840"/>
      <w:pgMar w:top="1500" w:bottom="280" w:left="13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58" w:hanging="300"/>
        <w:jc w:val="left"/>
      </w:pPr>
      <w:rPr>
        <w:rFonts w:hint="default"/>
        <w:spacing w:val="-5"/>
        <w:w w:val="100"/>
        <w:lang w:val="en-us" w:eastAsia="en-us" w:bidi="en-us"/>
      </w:rPr>
    </w:lvl>
    <w:lvl w:ilvl="1">
      <w:start w:val="0"/>
      <w:numFmt w:val="bullet"/>
      <w:lvlText w:val="•"/>
      <w:lvlJc w:val="left"/>
      <w:pPr>
        <w:ind w:left="1682" w:hanging="300"/>
      </w:pPr>
      <w:rPr>
        <w:rFonts w:hint="default"/>
        <w:lang w:val="en-us" w:eastAsia="en-us" w:bidi="en-us"/>
      </w:rPr>
    </w:lvl>
    <w:lvl w:ilvl="2">
      <w:start w:val="0"/>
      <w:numFmt w:val="bullet"/>
      <w:lvlText w:val="•"/>
      <w:lvlJc w:val="left"/>
      <w:pPr>
        <w:ind w:left="2604" w:hanging="300"/>
      </w:pPr>
      <w:rPr>
        <w:rFonts w:hint="default"/>
        <w:lang w:val="en-us" w:eastAsia="en-us" w:bidi="en-us"/>
      </w:rPr>
    </w:lvl>
    <w:lvl w:ilvl="3">
      <w:start w:val="0"/>
      <w:numFmt w:val="bullet"/>
      <w:lvlText w:val="•"/>
      <w:lvlJc w:val="left"/>
      <w:pPr>
        <w:ind w:left="3526" w:hanging="300"/>
      </w:pPr>
      <w:rPr>
        <w:rFonts w:hint="default"/>
        <w:lang w:val="en-us" w:eastAsia="en-us" w:bidi="en-us"/>
      </w:rPr>
    </w:lvl>
    <w:lvl w:ilvl="4">
      <w:start w:val="0"/>
      <w:numFmt w:val="bullet"/>
      <w:lvlText w:val="•"/>
      <w:lvlJc w:val="left"/>
      <w:pPr>
        <w:ind w:left="4448" w:hanging="300"/>
      </w:pPr>
      <w:rPr>
        <w:rFonts w:hint="default"/>
        <w:lang w:val="en-us" w:eastAsia="en-us" w:bidi="en-us"/>
      </w:rPr>
    </w:lvl>
    <w:lvl w:ilvl="5">
      <w:start w:val="0"/>
      <w:numFmt w:val="bullet"/>
      <w:lvlText w:val="•"/>
      <w:lvlJc w:val="left"/>
      <w:pPr>
        <w:ind w:left="5370" w:hanging="300"/>
      </w:pPr>
      <w:rPr>
        <w:rFonts w:hint="default"/>
        <w:lang w:val="en-us" w:eastAsia="en-us" w:bidi="en-us"/>
      </w:rPr>
    </w:lvl>
    <w:lvl w:ilvl="6">
      <w:start w:val="0"/>
      <w:numFmt w:val="bullet"/>
      <w:lvlText w:val="•"/>
      <w:lvlJc w:val="left"/>
      <w:pPr>
        <w:ind w:left="6292" w:hanging="300"/>
      </w:pPr>
      <w:rPr>
        <w:rFonts w:hint="default"/>
        <w:lang w:val="en-us" w:eastAsia="en-us" w:bidi="en-us"/>
      </w:rPr>
    </w:lvl>
    <w:lvl w:ilvl="7">
      <w:start w:val="0"/>
      <w:numFmt w:val="bullet"/>
      <w:lvlText w:val="•"/>
      <w:lvlJc w:val="left"/>
      <w:pPr>
        <w:ind w:left="7214" w:hanging="300"/>
      </w:pPr>
      <w:rPr>
        <w:rFonts w:hint="default"/>
        <w:lang w:val="en-us" w:eastAsia="en-us" w:bidi="en-us"/>
      </w:rPr>
    </w:lvl>
    <w:lvl w:ilvl="8">
      <w:start w:val="0"/>
      <w:numFmt w:val="bullet"/>
      <w:lvlText w:val="•"/>
      <w:lvlJc w:val="left"/>
      <w:pPr>
        <w:ind w:left="8136" w:hanging="300"/>
      </w:pPr>
      <w:rPr>
        <w:rFonts w:hint="default"/>
        <w:lang w:val="en-us" w:eastAsia="en-us" w:bidi="en-us"/>
      </w:rPr>
    </w:lvl>
  </w:abstractNum>
  <w:abstractNum w:abstractNumId="0">
    <w:multiLevelType w:val="hybridMultilevel"/>
    <w:lvl w:ilvl="0">
      <w:start w:val="1"/>
      <w:numFmt w:val="decimal"/>
      <w:lvlText w:val="%1."/>
      <w:lvlJc w:val="left"/>
      <w:pPr>
        <w:ind w:left="758" w:hanging="300"/>
        <w:jc w:val="left"/>
      </w:pPr>
      <w:rPr>
        <w:rFonts w:hint="default" w:ascii="Times New Roman" w:hAnsi="Times New Roman" w:eastAsia="Times New Roman" w:cs="Times New Roman"/>
        <w:spacing w:val="-6"/>
        <w:w w:val="100"/>
        <w:sz w:val="24"/>
        <w:szCs w:val="24"/>
        <w:lang w:val="en-us" w:eastAsia="en-us" w:bidi="en-us"/>
      </w:rPr>
    </w:lvl>
    <w:lvl w:ilvl="1">
      <w:start w:val="0"/>
      <w:numFmt w:val="bullet"/>
      <w:lvlText w:val="•"/>
      <w:lvlJc w:val="left"/>
      <w:pPr>
        <w:ind w:left="1682" w:hanging="300"/>
      </w:pPr>
      <w:rPr>
        <w:rFonts w:hint="default"/>
        <w:lang w:val="en-us" w:eastAsia="en-us" w:bidi="en-us"/>
      </w:rPr>
    </w:lvl>
    <w:lvl w:ilvl="2">
      <w:start w:val="0"/>
      <w:numFmt w:val="bullet"/>
      <w:lvlText w:val="•"/>
      <w:lvlJc w:val="left"/>
      <w:pPr>
        <w:ind w:left="2604" w:hanging="300"/>
      </w:pPr>
      <w:rPr>
        <w:rFonts w:hint="default"/>
        <w:lang w:val="en-us" w:eastAsia="en-us" w:bidi="en-us"/>
      </w:rPr>
    </w:lvl>
    <w:lvl w:ilvl="3">
      <w:start w:val="0"/>
      <w:numFmt w:val="bullet"/>
      <w:lvlText w:val="•"/>
      <w:lvlJc w:val="left"/>
      <w:pPr>
        <w:ind w:left="3526" w:hanging="300"/>
      </w:pPr>
      <w:rPr>
        <w:rFonts w:hint="default"/>
        <w:lang w:val="en-us" w:eastAsia="en-us" w:bidi="en-us"/>
      </w:rPr>
    </w:lvl>
    <w:lvl w:ilvl="4">
      <w:start w:val="0"/>
      <w:numFmt w:val="bullet"/>
      <w:lvlText w:val="•"/>
      <w:lvlJc w:val="left"/>
      <w:pPr>
        <w:ind w:left="4448" w:hanging="300"/>
      </w:pPr>
      <w:rPr>
        <w:rFonts w:hint="default"/>
        <w:lang w:val="en-us" w:eastAsia="en-us" w:bidi="en-us"/>
      </w:rPr>
    </w:lvl>
    <w:lvl w:ilvl="5">
      <w:start w:val="0"/>
      <w:numFmt w:val="bullet"/>
      <w:lvlText w:val="•"/>
      <w:lvlJc w:val="left"/>
      <w:pPr>
        <w:ind w:left="5370" w:hanging="300"/>
      </w:pPr>
      <w:rPr>
        <w:rFonts w:hint="default"/>
        <w:lang w:val="en-us" w:eastAsia="en-us" w:bidi="en-us"/>
      </w:rPr>
    </w:lvl>
    <w:lvl w:ilvl="6">
      <w:start w:val="0"/>
      <w:numFmt w:val="bullet"/>
      <w:lvlText w:val="•"/>
      <w:lvlJc w:val="left"/>
      <w:pPr>
        <w:ind w:left="6292" w:hanging="300"/>
      </w:pPr>
      <w:rPr>
        <w:rFonts w:hint="default"/>
        <w:lang w:val="en-us" w:eastAsia="en-us" w:bidi="en-us"/>
      </w:rPr>
    </w:lvl>
    <w:lvl w:ilvl="7">
      <w:start w:val="0"/>
      <w:numFmt w:val="bullet"/>
      <w:lvlText w:val="•"/>
      <w:lvlJc w:val="left"/>
      <w:pPr>
        <w:ind w:left="7214" w:hanging="300"/>
      </w:pPr>
      <w:rPr>
        <w:rFonts w:hint="default"/>
        <w:lang w:val="en-us" w:eastAsia="en-us" w:bidi="en-us"/>
      </w:rPr>
    </w:lvl>
    <w:lvl w:ilvl="8">
      <w:start w:val="0"/>
      <w:numFmt w:val="bullet"/>
      <w:lvlText w:val="•"/>
      <w:lvlJc w:val="left"/>
      <w:pPr>
        <w:ind w:left="8136" w:hanging="30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
      <w:ind w:left="282" w:right="92"/>
      <w:jc w:val="center"/>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757" w:right="548" w:hanging="30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ci.nih.gov/clinical_trials/conducting/"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Cancer Centers, National Cancer Institute</dc:creator>
  <cp:keywords>NCI-designated Cancer Center Support GrantPolicy on Review of Data and Safety Monitoring (DSM) in Cancer Center Support Grants</cp:keywords>
  <dc:subject>Policy on Review of Data and Safety Monitoring in Cancer Center Support Grants</dc:subject>
  <dc:title>Policy on Review of Data and Safety Monitoring in Cancer Center Support Grants</dc:title>
  <dcterms:created xsi:type="dcterms:W3CDTF">2020-02-19T11:30:12Z</dcterms:created>
  <dcterms:modified xsi:type="dcterms:W3CDTF">2020-02-19T11:30:12Z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2012-03-01T00:00:00Z</vt:filetime>
  </property>
  <property fmtid="{D5CDD505-2E9C-101B-9397-08002B2CF9AE}" pid="3" name="Creator">
    <vt:lpwstr>Microsoft® Word 2010</vt:lpwstr>
  </property>
  <property fmtid="{D5CDD505-2E9C-101B-9397-08002B2CF9AE}" pid="4" name="LastSaved">
    <vt:filetime>2020-02-19T00:00:00Z</vt:filetime>
  </property>
</Properties>
</file>