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58F325" w14:textId="77777777" w:rsidR="00871E96" w:rsidRPr="00EB38EB" w:rsidRDefault="00871E96" w:rsidP="00871E96">
      <w:pPr>
        <w:spacing w:after="0" w:line="240" w:lineRule="auto"/>
      </w:pPr>
      <w:bookmarkStart w:id="0" w:name="_GoBack"/>
      <w:bookmarkEnd w:id="0"/>
      <w:r w:rsidRPr="00341E9D">
        <w:rPr>
          <w:b/>
        </w:rPr>
        <w:t>P30 Cancer Center Support Grant</w:t>
      </w:r>
      <w:r>
        <w:rPr>
          <w:b/>
        </w:rPr>
        <w:t xml:space="preserve"> Administrative Supplements</w:t>
      </w:r>
      <w:r w:rsidRPr="00341E9D">
        <w:rPr>
          <w:b/>
        </w:rPr>
        <w:t xml:space="preserve"> to support </w:t>
      </w:r>
      <w:r>
        <w:rPr>
          <w:b/>
        </w:rPr>
        <w:t>NCI Approved Clinical Trial Proposals</w:t>
      </w:r>
      <w:r w:rsidRPr="00341E9D">
        <w:rPr>
          <w:b/>
        </w:rPr>
        <w:t xml:space="preserve"> from NCI-designated </w:t>
      </w:r>
      <w:r>
        <w:rPr>
          <w:b/>
        </w:rPr>
        <w:t>C</w:t>
      </w:r>
      <w:r w:rsidRPr="00341E9D">
        <w:rPr>
          <w:b/>
        </w:rPr>
        <w:t xml:space="preserve">ancer </w:t>
      </w:r>
      <w:r>
        <w:rPr>
          <w:b/>
        </w:rPr>
        <w:t>C</w:t>
      </w:r>
      <w:r w:rsidRPr="00341E9D">
        <w:rPr>
          <w:b/>
        </w:rPr>
        <w:t>enters not affiliated with the</w:t>
      </w:r>
      <w:r>
        <w:rPr>
          <w:b/>
        </w:rPr>
        <w:t xml:space="preserve"> NCI</w:t>
      </w:r>
      <w:r w:rsidRPr="00EB38EB">
        <w:rPr>
          <w:b/>
        </w:rPr>
        <w:t xml:space="preserve"> E</w:t>
      </w:r>
      <w:r>
        <w:rPr>
          <w:b/>
        </w:rPr>
        <w:t>xperimental</w:t>
      </w:r>
      <w:r w:rsidRPr="00EB38EB">
        <w:rPr>
          <w:b/>
        </w:rPr>
        <w:t xml:space="preserve"> Therapeutics Clinical Trials Network (ETCTN)</w:t>
      </w:r>
      <w:r>
        <w:t xml:space="preserve"> </w:t>
      </w:r>
      <w:r w:rsidRPr="00EB38EB">
        <w:rPr>
          <w:b/>
        </w:rPr>
        <w:t xml:space="preserve">for </w:t>
      </w:r>
      <w:r>
        <w:rPr>
          <w:b/>
        </w:rPr>
        <w:t>I</w:t>
      </w:r>
      <w:r w:rsidRPr="00EB38EB">
        <w:rPr>
          <w:b/>
        </w:rPr>
        <w:t>nvestigator-</w:t>
      </w:r>
      <w:r>
        <w:rPr>
          <w:b/>
        </w:rPr>
        <w:t>I</w:t>
      </w:r>
      <w:r w:rsidRPr="00EB38EB">
        <w:rPr>
          <w:b/>
        </w:rPr>
        <w:t xml:space="preserve">nitiated </w:t>
      </w:r>
      <w:r>
        <w:rPr>
          <w:b/>
        </w:rPr>
        <w:t>T</w:t>
      </w:r>
      <w:r w:rsidRPr="00EB38EB">
        <w:rPr>
          <w:b/>
        </w:rPr>
        <w:t xml:space="preserve">rials </w:t>
      </w:r>
      <w:r>
        <w:rPr>
          <w:b/>
        </w:rPr>
        <w:t xml:space="preserve">Utilizing </w:t>
      </w:r>
      <w:r w:rsidRPr="00EB38EB">
        <w:rPr>
          <w:b/>
        </w:rPr>
        <w:t xml:space="preserve">CTEP IND agents </w:t>
      </w:r>
      <w:r>
        <w:rPr>
          <w:b/>
        </w:rPr>
        <w:t>in the ETCTN</w:t>
      </w:r>
    </w:p>
    <w:p w14:paraId="27748399" w14:textId="77777777" w:rsidR="008D602A" w:rsidRPr="007C0FC7" w:rsidRDefault="008D602A" w:rsidP="001748B8">
      <w:pPr>
        <w:spacing w:after="0" w:line="240" w:lineRule="auto"/>
      </w:pPr>
    </w:p>
    <w:p w14:paraId="3BE93E0D" w14:textId="77777777" w:rsidR="008D602A" w:rsidRDefault="008D602A" w:rsidP="001748B8">
      <w:pPr>
        <w:spacing w:after="0" w:line="240" w:lineRule="auto"/>
        <w:rPr>
          <w:b/>
        </w:rPr>
      </w:pPr>
      <w:r w:rsidRPr="007C0FC7">
        <w:rPr>
          <w:b/>
        </w:rPr>
        <w:t>Key Dates</w:t>
      </w:r>
    </w:p>
    <w:p w14:paraId="7DFE5EC6" w14:textId="77777777" w:rsidR="00E144FE" w:rsidRPr="007C0FC7" w:rsidRDefault="00E144FE" w:rsidP="001748B8">
      <w:pPr>
        <w:spacing w:after="0" w:line="240" w:lineRule="auto"/>
        <w:rPr>
          <w:b/>
        </w:rPr>
      </w:pPr>
    </w:p>
    <w:p w14:paraId="2286BAE8" w14:textId="77777777" w:rsidR="00A02D24" w:rsidRPr="007C0FC7" w:rsidRDefault="008D602A" w:rsidP="001748B8">
      <w:pPr>
        <w:spacing w:after="0" w:line="240" w:lineRule="auto"/>
      </w:pPr>
      <w:r w:rsidRPr="007C0FC7">
        <w:t xml:space="preserve">Release Date: </w:t>
      </w:r>
      <w:r w:rsidR="00B47A50">
        <w:t>March 2</w:t>
      </w:r>
      <w:r w:rsidR="00CF7FDF">
        <w:t>, 2016</w:t>
      </w:r>
    </w:p>
    <w:p w14:paraId="25BD1C31" w14:textId="77777777" w:rsidR="00A02D24" w:rsidRPr="007C0FC7" w:rsidRDefault="008D602A" w:rsidP="001748B8">
      <w:pPr>
        <w:spacing w:after="0" w:line="240" w:lineRule="auto"/>
      </w:pPr>
      <w:r w:rsidRPr="007C0FC7">
        <w:t xml:space="preserve">Request Receipt Date: </w:t>
      </w:r>
      <w:proofErr w:type="gramStart"/>
      <w:r w:rsidR="00CF7FDF">
        <w:t>n/a</w:t>
      </w:r>
      <w:proofErr w:type="gramEnd"/>
    </w:p>
    <w:p w14:paraId="62EF4955" w14:textId="77777777" w:rsidR="008D602A" w:rsidRPr="007C0FC7" w:rsidRDefault="008D602A" w:rsidP="001748B8">
      <w:pPr>
        <w:spacing w:after="0" w:line="240" w:lineRule="auto"/>
      </w:pPr>
      <w:r w:rsidRPr="007C0FC7">
        <w:t xml:space="preserve">Earliest Anticipated Start Date for Awards: </w:t>
      </w:r>
      <w:r w:rsidR="00CF7FDF">
        <w:t>May 1, 2016</w:t>
      </w:r>
    </w:p>
    <w:p w14:paraId="10DD314D" w14:textId="77777777" w:rsidR="008D602A" w:rsidRPr="007C0FC7" w:rsidRDefault="008D602A" w:rsidP="001748B8">
      <w:pPr>
        <w:spacing w:after="0" w:line="240" w:lineRule="auto"/>
      </w:pPr>
    </w:p>
    <w:p w14:paraId="10B90E46" w14:textId="77777777" w:rsidR="008D602A" w:rsidRDefault="008D602A" w:rsidP="001748B8">
      <w:pPr>
        <w:spacing w:after="0" w:line="240" w:lineRule="auto"/>
        <w:rPr>
          <w:b/>
        </w:rPr>
      </w:pPr>
      <w:r w:rsidRPr="007C0FC7">
        <w:rPr>
          <w:b/>
        </w:rPr>
        <w:t>Purpose</w:t>
      </w:r>
    </w:p>
    <w:p w14:paraId="266548DB" w14:textId="77777777" w:rsidR="00E144FE" w:rsidRPr="007C0FC7" w:rsidRDefault="00E144FE" w:rsidP="001748B8">
      <w:pPr>
        <w:spacing w:after="0" w:line="240" w:lineRule="auto"/>
        <w:rPr>
          <w:b/>
        </w:rPr>
      </w:pPr>
    </w:p>
    <w:p w14:paraId="16A8C098" w14:textId="77777777" w:rsidR="007508C7" w:rsidRPr="007C0FC7" w:rsidRDefault="008D602A" w:rsidP="007508C7">
      <w:pPr>
        <w:spacing w:after="0" w:line="240" w:lineRule="auto"/>
      </w:pPr>
      <w:r w:rsidRPr="007C0FC7">
        <w:t xml:space="preserve">The National Cancer Institute </w:t>
      </w:r>
      <w:r w:rsidR="00B509D1" w:rsidRPr="007C0FC7">
        <w:t xml:space="preserve">(NCI) </w:t>
      </w:r>
      <w:r w:rsidRPr="007C0FC7">
        <w:t xml:space="preserve">announces the opportunity for supplemental funding </w:t>
      </w:r>
      <w:r w:rsidR="004B44AE" w:rsidRPr="007C0FC7">
        <w:t>to promote</w:t>
      </w:r>
      <w:r w:rsidRPr="007C0FC7">
        <w:t xml:space="preserve"> collaborations between </w:t>
      </w:r>
      <w:r w:rsidR="00B509D1" w:rsidRPr="007C0FC7">
        <w:t>NCI-designate</w:t>
      </w:r>
      <w:r w:rsidR="001473D4" w:rsidRPr="007C0FC7">
        <w:t>d cancer c</w:t>
      </w:r>
      <w:r w:rsidR="00B509D1" w:rsidRPr="007C0FC7">
        <w:t>enters</w:t>
      </w:r>
      <w:r w:rsidR="00B405EA" w:rsidRPr="007C0FC7">
        <w:t xml:space="preserve"> (NCI-CC</w:t>
      </w:r>
      <w:r w:rsidR="00BB34C3" w:rsidRPr="007C0FC7">
        <w:t>s</w:t>
      </w:r>
      <w:r w:rsidR="00B405EA" w:rsidRPr="007C0FC7">
        <w:t>)</w:t>
      </w:r>
      <w:r w:rsidR="00B509D1" w:rsidRPr="007C0FC7">
        <w:t xml:space="preserve"> and </w:t>
      </w:r>
      <w:r w:rsidR="00BB34C3" w:rsidRPr="007C0FC7">
        <w:t>CTEP</w:t>
      </w:r>
      <w:r w:rsidR="00A02D24" w:rsidRPr="007C0FC7">
        <w:t xml:space="preserve">’s </w:t>
      </w:r>
      <w:r w:rsidR="00BD257D">
        <w:t>Experimental</w:t>
      </w:r>
      <w:r w:rsidR="00BD257D" w:rsidRPr="007C0FC7">
        <w:t xml:space="preserve"> </w:t>
      </w:r>
      <w:r w:rsidR="00A02D24" w:rsidRPr="007C0FC7">
        <w:t>Therapeutics Clinical Trials Network (ETCTN)</w:t>
      </w:r>
      <w:r w:rsidR="00B405EA" w:rsidRPr="007C0FC7">
        <w:t xml:space="preserve">. The short term goal of this Early Drug Development Opportunity (EDDO) program is create the opportunity for any member of an NCI-CC </w:t>
      </w:r>
      <w:r w:rsidR="000C5338">
        <w:t>that currently is not affiliated with the ETCTN</w:t>
      </w:r>
      <w:r w:rsidR="00CF7FDF">
        <w:t xml:space="preserve"> UM1 </w:t>
      </w:r>
      <w:r w:rsidR="00BD257D">
        <w:t xml:space="preserve">cooperative agreement </w:t>
      </w:r>
      <w:r w:rsidR="00CF7FDF">
        <w:t>program</w:t>
      </w:r>
      <w:r w:rsidR="000C5338">
        <w:t xml:space="preserve"> </w:t>
      </w:r>
      <w:r w:rsidR="00B405EA" w:rsidRPr="007C0FC7">
        <w:t>to lead innovative early phase studies of anti-cancer agents held under CTEP’s IND. The long</w:t>
      </w:r>
      <w:r w:rsidR="00CF7FDF">
        <w:t>-</w:t>
      </w:r>
      <w:r w:rsidR="00B405EA" w:rsidRPr="007C0FC7">
        <w:t>term goal is to test the best therapeutic</w:t>
      </w:r>
      <w:r w:rsidR="00BB34C3" w:rsidRPr="007C0FC7">
        <w:t xml:space="preserve"> ideas</w:t>
      </w:r>
      <w:r w:rsidR="00B405EA" w:rsidRPr="007C0FC7">
        <w:t xml:space="preserve"> </w:t>
      </w:r>
      <w:r w:rsidR="00BB34C3" w:rsidRPr="007C0FC7">
        <w:t>generated by the members of</w:t>
      </w:r>
      <w:r w:rsidR="00B405EA" w:rsidRPr="007C0FC7">
        <w:t xml:space="preserve"> </w:t>
      </w:r>
      <w:r w:rsidR="006721FD">
        <w:t>NCI-CC</w:t>
      </w:r>
      <w:r w:rsidR="00B405EA" w:rsidRPr="007C0FC7">
        <w:t>s</w:t>
      </w:r>
      <w:r w:rsidR="00BB34C3" w:rsidRPr="007C0FC7">
        <w:t xml:space="preserve"> to improve the outcome of cancer therapy.</w:t>
      </w:r>
    </w:p>
    <w:p w14:paraId="62F1422F" w14:textId="77777777" w:rsidR="007508C7" w:rsidRPr="007C0FC7" w:rsidRDefault="007508C7" w:rsidP="001748B8">
      <w:pPr>
        <w:spacing w:after="0" w:line="240" w:lineRule="auto"/>
      </w:pPr>
    </w:p>
    <w:p w14:paraId="5C850367" w14:textId="77777777" w:rsidR="002A6E7B" w:rsidRPr="007C0FC7" w:rsidRDefault="00BB34C3" w:rsidP="002A6E7B">
      <w:pPr>
        <w:spacing w:after="0" w:line="240" w:lineRule="auto"/>
      </w:pPr>
      <w:r w:rsidRPr="004211BF">
        <w:rPr>
          <w:b/>
        </w:rPr>
        <w:t>To become eligible for funding</w:t>
      </w:r>
      <w:r w:rsidR="004211BF">
        <w:rPr>
          <w:b/>
        </w:rPr>
        <w:t xml:space="preserve"> consideration</w:t>
      </w:r>
      <w:r w:rsidRPr="004211BF">
        <w:rPr>
          <w:b/>
        </w:rPr>
        <w:t xml:space="preserve">, an NCI-CC </w:t>
      </w:r>
      <w:r w:rsidRPr="004211BF">
        <w:rPr>
          <w:b/>
          <w:color w:val="000000"/>
        </w:rPr>
        <w:t>must submit a study proposal (Letter of Int</w:t>
      </w:r>
      <w:r w:rsidR="00DE537B" w:rsidRPr="004211BF">
        <w:rPr>
          <w:b/>
          <w:color w:val="000000"/>
        </w:rPr>
        <w:t>ent, LOI) to CTEP</w:t>
      </w:r>
      <w:r w:rsidRPr="004211BF">
        <w:rPr>
          <w:b/>
          <w:color w:val="000000"/>
        </w:rPr>
        <w:t>. Funding</w:t>
      </w:r>
      <w:r w:rsidR="00341E9D">
        <w:rPr>
          <w:b/>
          <w:color w:val="000000"/>
        </w:rPr>
        <w:t xml:space="preserve"> over a 2-year period</w:t>
      </w:r>
      <w:r w:rsidRPr="004211BF">
        <w:rPr>
          <w:b/>
          <w:color w:val="000000"/>
        </w:rPr>
        <w:t xml:space="preserve"> is contingent upon CTEP approval of the LOI.</w:t>
      </w:r>
      <w:r w:rsidRPr="007C0FC7">
        <w:rPr>
          <w:color w:val="000000"/>
        </w:rPr>
        <w:t xml:space="preserve"> </w:t>
      </w:r>
      <w:r w:rsidR="002A6E7B" w:rsidRPr="007C0FC7">
        <w:t xml:space="preserve">These administrative supplements are designed to </w:t>
      </w:r>
      <w:r w:rsidRPr="007C0FC7">
        <w:rPr>
          <w:color w:val="000000"/>
        </w:rPr>
        <w:t>provide funds that will allow the investigator to enroll patients on the approved study at the</w:t>
      </w:r>
      <w:r w:rsidR="00CF7FDF">
        <w:rPr>
          <w:color w:val="000000"/>
        </w:rPr>
        <w:t xml:space="preserve"> investigator’s</w:t>
      </w:r>
      <w:r w:rsidRPr="007C0FC7">
        <w:rPr>
          <w:color w:val="000000"/>
        </w:rPr>
        <w:t xml:space="preserve"> </w:t>
      </w:r>
      <w:r w:rsidR="006721FD">
        <w:rPr>
          <w:color w:val="000000"/>
        </w:rPr>
        <w:t>NCI-CC</w:t>
      </w:r>
      <w:r w:rsidRPr="007C0FC7">
        <w:rPr>
          <w:color w:val="000000"/>
        </w:rPr>
        <w:t xml:space="preserve">. </w:t>
      </w:r>
      <w:r w:rsidR="00DE537B" w:rsidRPr="007C0FC7">
        <w:rPr>
          <w:color w:val="000000"/>
        </w:rPr>
        <w:t xml:space="preserve">If appropriate, </w:t>
      </w:r>
      <w:r w:rsidRPr="007C0FC7">
        <w:rPr>
          <w:color w:val="000000"/>
        </w:rPr>
        <w:t>CTEP may also open the study across the entire ETCTN and use its centralized clinical trial infrastructure for management of the study across the Network.</w:t>
      </w:r>
    </w:p>
    <w:p w14:paraId="75E069B2" w14:textId="77777777" w:rsidR="00B509D1" w:rsidRPr="007C0FC7" w:rsidRDefault="00B509D1" w:rsidP="001748B8">
      <w:pPr>
        <w:spacing w:after="0" w:line="240" w:lineRule="auto"/>
      </w:pPr>
    </w:p>
    <w:p w14:paraId="3D43C55B" w14:textId="77777777" w:rsidR="00871E96" w:rsidRPr="007C0FC7" w:rsidRDefault="00871E96" w:rsidP="00871E96">
      <w:pPr>
        <w:spacing w:after="0" w:line="240" w:lineRule="auto"/>
        <w:rPr>
          <w:b/>
        </w:rPr>
      </w:pPr>
      <w:r w:rsidRPr="007C0FC7">
        <w:rPr>
          <w:b/>
        </w:rPr>
        <w:t>Background</w:t>
      </w:r>
    </w:p>
    <w:p w14:paraId="6BF6F8EA" w14:textId="77777777" w:rsidR="00871E96" w:rsidRPr="007C0FC7" w:rsidRDefault="00871E96" w:rsidP="00871E96">
      <w:pPr>
        <w:spacing w:after="0" w:line="240" w:lineRule="auto"/>
        <w:rPr>
          <w:rFonts w:cs="Adobe Garamond Pro"/>
          <w:color w:val="221E1F"/>
        </w:rPr>
      </w:pPr>
    </w:p>
    <w:p w14:paraId="7CB8266F" w14:textId="77777777" w:rsidR="00871E96" w:rsidRPr="007C0FC7" w:rsidRDefault="00871E96" w:rsidP="00871E96">
      <w:pPr>
        <w:spacing w:after="0" w:line="240" w:lineRule="auto"/>
        <w:rPr>
          <w:rFonts w:cs="Adobe Garamond Pro"/>
          <w:color w:val="221E1F"/>
        </w:rPr>
      </w:pPr>
      <w:r w:rsidRPr="007C0FC7">
        <w:rPr>
          <w:rFonts w:cs="Adobe Garamond Pro"/>
          <w:color w:val="221E1F"/>
        </w:rPr>
        <w:t>The</w:t>
      </w:r>
      <w:r>
        <w:rPr>
          <w:rFonts w:cs="Adobe Garamond Pro"/>
          <w:color w:val="221E1F"/>
        </w:rPr>
        <w:t xml:space="preserve"> NCI’s</w:t>
      </w:r>
      <w:r w:rsidRPr="007C0FC7">
        <w:rPr>
          <w:rFonts w:cs="Adobe Garamond Pro"/>
          <w:color w:val="221E1F"/>
        </w:rPr>
        <w:t xml:space="preserve"> </w:t>
      </w:r>
      <w:r>
        <w:rPr>
          <w:rFonts w:cs="Adobe Garamond Pro"/>
          <w:color w:val="221E1F"/>
        </w:rPr>
        <w:t>E</w:t>
      </w:r>
      <w:r w:rsidRPr="007C0FC7">
        <w:rPr>
          <w:rFonts w:cs="Adobe Garamond Pro"/>
          <w:color w:val="221E1F"/>
        </w:rPr>
        <w:t xml:space="preserve">arly </w:t>
      </w:r>
      <w:r>
        <w:rPr>
          <w:rFonts w:cs="Adobe Garamond Pro"/>
          <w:color w:val="221E1F"/>
        </w:rPr>
        <w:t>T</w:t>
      </w:r>
      <w:r w:rsidRPr="007C0FC7">
        <w:rPr>
          <w:rFonts w:cs="Adobe Garamond Pro"/>
          <w:color w:val="221E1F"/>
        </w:rPr>
        <w:t xml:space="preserve">herapeutics </w:t>
      </w:r>
      <w:r>
        <w:rPr>
          <w:rFonts w:cs="Adobe Garamond Pro"/>
          <w:color w:val="221E1F"/>
        </w:rPr>
        <w:t>D</w:t>
      </w:r>
      <w:r w:rsidRPr="007C0FC7">
        <w:rPr>
          <w:rFonts w:cs="Adobe Garamond Pro"/>
          <w:color w:val="221E1F"/>
        </w:rPr>
        <w:t xml:space="preserve">evelopment </w:t>
      </w:r>
      <w:r>
        <w:rPr>
          <w:rFonts w:cs="Adobe Garamond Pro"/>
          <w:color w:val="221E1F"/>
        </w:rPr>
        <w:t>P</w:t>
      </w:r>
      <w:r w:rsidRPr="007C0FC7">
        <w:rPr>
          <w:rFonts w:cs="Adobe Garamond Pro"/>
          <w:color w:val="221E1F"/>
        </w:rPr>
        <w:t xml:space="preserve">rogram sponsored by the Cancer Therapy Evaluation Program (CTEP) in the Division of Cancer Treatment and Diagnosis (DCTD) has contributed to the clinical development of many anticancer agents. This </w:t>
      </w:r>
      <w:r>
        <w:rPr>
          <w:rFonts w:cs="Adobe Garamond Pro"/>
          <w:color w:val="221E1F"/>
        </w:rPr>
        <w:t>P</w:t>
      </w:r>
      <w:r w:rsidRPr="007C0FC7">
        <w:rPr>
          <w:rFonts w:cs="Adobe Garamond Pro"/>
          <w:color w:val="221E1F"/>
        </w:rPr>
        <w:t>rogram has the unique ability to quickly take advantage of new scientific opportunities to promote therapeutic innovations. It melds partnerships with pharmaceutical companies developing novel agents with specialized clinical trial expertise found in academic medical centers to leverage development of a particular agent or novel agent combinations. NCI accepts new agents into its portfolio through the NCI’s Experimental Therapeutics (</w:t>
      </w:r>
      <w:proofErr w:type="spellStart"/>
      <w:r w:rsidRPr="007C0FC7">
        <w:rPr>
          <w:rFonts w:cs="Adobe Garamond Pro"/>
          <w:color w:val="221E1F"/>
        </w:rPr>
        <w:t>NExT</w:t>
      </w:r>
      <w:proofErr w:type="spellEnd"/>
      <w:r w:rsidRPr="007C0FC7">
        <w:rPr>
          <w:rFonts w:cs="Adobe Garamond Pro"/>
          <w:color w:val="221E1F"/>
        </w:rPr>
        <w:t>) program, and develops Collaborative Research and Development Agreements (CRADAs) with pharmaceutical companies and academic investigators. Through its Experimental Therapeutics Clinical Trials Network (ETCTN), NCI creates a drug development plan (DDP) that includes phase 1 and phase 2 studies which are an essential part of the CTEP drug development process. The phase 2 program investigators provide access to disease-oriented clinics in clinical sites, and expertise in conducting phase 2 studies. These studies are designed to provide a sufficiently unequivocal signal of clinical benefit to justify definitive large multi-institutional phase 3 trials designed to demonstrate improved outcomes and change the standards of practice.</w:t>
      </w:r>
    </w:p>
    <w:p w14:paraId="3FA77339" w14:textId="77777777" w:rsidR="00871E96" w:rsidRPr="007C0FC7" w:rsidRDefault="00871E96" w:rsidP="00871E96">
      <w:pPr>
        <w:spacing w:after="0" w:line="240" w:lineRule="auto"/>
        <w:rPr>
          <w:rFonts w:cs="Adobe Garamond Pro"/>
          <w:color w:val="221E1F"/>
        </w:rPr>
      </w:pPr>
    </w:p>
    <w:p w14:paraId="15FC3823" w14:textId="77777777" w:rsidR="00871E96" w:rsidRPr="007C0FC7" w:rsidRDefault="00871E96" w:rsidP="00871E96">
      <w:pPr>
        <w:spacing w:after="0" w:line="240" w:lineRule="auto"/>
        <w:rPr>
          <w:rFonts w:cs="Adobe Garamond Pro"/>
          <w:color w:val="221E1F"/>
        </w:rPr>
      </w:pPr>
      <w:r w:rsidRPr="007C0FC7">
        <w:rPr>
          <w:rFonts w:cs="Adobe Garamond Pro"/>
          <w:color w:val="221E1F"/>
        </w:rPr>
        <w:t>The current ETCTN consists of 12 UM1 grantee</w:t>
      </w:r>
      <w:r>
        <w:rPr>
          <w:rFonts w:cs="Adobe Garamond Pro"/>
          <w:color w:val="221E1F"/>
        </w:rPr>
        <w:t xml:space="preserve"> Lead Academic Organizations and their affiliates</w:t>
      </w:r>
      <w:r w:rsidRPr="007C0FC7">
        <w:rPr>
          <w:rFonts w:cs="Adobe Garamond Pro"/>
          <w:color w:val="221E1F"/>
        </w:rPr>
        <w:t xml:space="preserve"> committed to conducting studies</w:t>
      </w:r>
      <w:r>
        <w:rPr>
          <w:rFonts w:cs="Adobe Garamond Pro"/>
          <w:color w:val="221E1F"/>
        </w:rPr>
        <w:t xml:space="preserve"> of NCI-IND agents</w:t>
      </w:r>
      <w:r w:rsidRPr="007C0FC7">
        <w:rPr>
          <w:rFonts w:cs="Adobe Garamond Pro"/>
          <w:color w:val="221E1F"/>
        </w:rPr>
        <w:t xml:space="preserve"> with a phase 1 emphasis</w:t>
      </w:r>
      <w:r>
        <w:rPr>
          <w:rFonts w:cs="Adobe Garamond Pro"/>
          <w:color w:val="221E1F"/>
        </w:rPr>
        <w:t xml:space="preserve">. These UM1 grantees have recently incorporated </w:t>
      </w:r>
      <w:r w:rsidR="00EF3EC4">
        <w:rPr>
          <w:rFonts w:cs="Adobe Garamond Pro"/>
          <w:color w:val="221E1F"/>
        </w:rPr>
        <w:t>an</w:t>
      </w:r>
      <w:r w:rsidRPr="007C0FC7">
        <w:rPr>
          <w:rFonts w:cs="Adobe Garamond Pro"/>
          <w:color w:val="221E1F"/>
        </w:rPr>
        <w:t xml:space="preserve"> </w:t>
      </w:r>
      <w:r>
        <w:rPr>
          <w:rFonts w:cs="Adobe Garamond Pro"/>
          <w:color w:val="221E1F"/>
        </w:rPr>
        <w:t xml:space="preserve">ETCTN </w:t>
      </w:r>
      <w:r w:rsidRPr="007C0FC7">
        <w:rPr>
          <w:rFonts w:cs="Adobe Garamond Pro"/>
          <w:color w:val="221E1F"/>
        </w:rPr>
        <w:t xml:space="preserve">Phase 2 Program that </w:t>
      </w:r>
      <w:r>
        <w:rPr>
          <w:rFonts w:cs="Adobe Garamond Pro"/>
          <w:color w:val="221E1F"/>
        </w:rPr>
        <w:t>had consisted</w:t>
      </w:r>
      <w:r w:rsidRPr="007C0FC7">
        <w:rPr>
          <w:rFonts w:cs="Adobe Garamond Pro"/>
          <w:color w:val="221E1F"/>
        </w:rPr>
        <w:t xml:space="preserve"> of 7 contract holders at major academic medic</w:t>
      </w:r>
      <w:r>
        <w:rPr>
          <w:rFonts w:cs="Adobe Garamond Pro"/>
          <w:color w:val="221E1F"/>
        </w:rPr>
        <w:t>al centers and their</w:t>
      </w:r>
      <w:r w:rsidRPr="007C0FC7">
        <w:rPr>
          <w:rFonts w:cs="Adobe Garamond Pro"/>
          <w:color w:val="221E1F"/>
        </w:rPr>
        <w:t xml:space="preserve"> affiliates. </w:t>
      </w:r>
      <w:r>
        <w:rPr>
          <w:rFonts w:cs="Adobe Garamond Pro"/>
          <w:color w:val="221E1F"/>
        </w:rPr>
        <w:t>The ETCTN provides</w:t>
      </w:r>
      <w:r w:rsidRPr="007C0FC7">
        <w:rPr>
          <w:rFonts w:cs="Adobe Garamond Pro"/>
          <w:color w:val="221E1F"/>
        </w:rPr>
        <w:t xml:space="preserve"> the major clinical trials infrastructure an</w:t>
      </w:r>
      <w:r>
        <w:rPr>
          <w:rFonts w:cs="Adobe Garamond Pro"/>
          <w:color w:val="221E1F"/>
        </w:rPr>
        <w:t xml:space="preserve">d laboratory support </w:t>
      </w:r>
      <w:r w:rsidRPr="007C0FC7">
        <w:rPr>
          <w:rFonts w:cs="Adobe Garamond Pro"/>
          <w:color w:val="221E1F"/>
        </w:rPr>
        <w:t xml:space="preserve">to conduct complex early phase trials in its partnerships with industry. The ETCTN phase 1 and phase 2 programs have mechanisms </w:t>
      </w:r>
      <w:r>
        <w:rPr>
          <w:rFonts w:cs="Adobe Garamond Pro"/>
          <w:color w:val="221E1F"/>
        </w:rPr>
        <w:t>to support</w:t>
      </w:r>
      <w:r w:rsidRPr="007C0FC7">
        <w:rPr>
          <w:rFonts w:cs="Adobe Garamond Pro"/>
          <w:color w:val="221E1F"/>
        </w:rPr>
        <w:t xml:space="preserve"> sites for investigator </w:t>
      </w:r>
      <w:r>
        <w:rPr>
          <w:rFonts w:cs="Adobe Garamond Pro"/>
          <w:color w:val="221E1F"/>
        </w:rPr>
        <w:t>effort</w:t>
      </w:r>
      <w:r w:rsidRPr="007C0FC7">
        <w:rPr>
          <w:rFonts w:cs="Adobe Garamond Pro"/>
          <w:color w:val="221E1F"/>
        </w:rPr>
        <w:t xml:space="preserve"> and patient accrual to ETCTN studies. </w:t>
      </w:r>
    </w:p>
    <w:p w14:paraId="080255CF" w14:textId="77777777" w:rsidR="00871E96" w:rsidRDefault="00871E96" w:rsidP="00871E96">
      <w:pPr>
        <w:spacing w:after="0" w:line="240" w:lineRule="auto"/>
        <w:rPr>
          <w:rFonts w:cs="Adobe Garamond Pro"/>
          <w:color w:val="221E1F"/>
        </w:rPr>
      </w:pPr>
    </w:p>
    <w:p w14:paraId="5CA2976D" w14:textId="77777777" w:rsidR="00871E96" w:rsidRDefault="00E144FE" w:rsidP="00871E96">
      <w:pPr>
        <w:spacing w:after="0" w:line="240" w:lineRule="auto"/>
        <w:rPr>
          <w:rFonts w:cs="Adobe Garamond Pro"/>
          <w:b/>
          <w:color w:val="221E1F"/>
        </w:rPr>
      </w:pPr>
      <w:r>
        <w:rPr>
          <w:rFonts w:cs="Adobe Garamond Pro"/>
          <w:b/>
          <w:color w:val="221E1F"/>
        </w:rPr>
        <w:br w:type="page"/>
      </w:r>
      <w:r w:rsidR="00871E96" w:rsidRPr="00785F69">
        <w:rPr>
          <w:rFonts w:cs="Adobe Garamond Pro"/>
          <w:b/>
          <w:color w:val="221E1F"/>
        </w:rPr>
        <w:lastRenderedPageBreak/>
        <w:t>Administrative Supplements</w:t>
      </w:r>
    </w:p>
    <w:p w14:paraId="64981766" w14:textId="77777777" w:rsidR="00E144FE" w:rsidRPr="00785F69" w:rsidRDefault="00E144FE" w:rsidP="00871E96">
      <w:pPr>
        <w:spacing w:after="0" w:line="240" w:lineRule="auto"/>
        <w:rPr>
          <w:rFonts w:cs="Adobe Garamond Pro"/>
          <w:b/>
          <w:color w:val="221E1F"/>
        </w:rPr>
      </w:pPr>
    </w:p>
    <w:p w14:paraId="39C685FD" w14:textId="77777777" w:rsidR="00871E96" w:rsidRDefault="00871E96" w:rsidP="00871E96">
      <w:pPr>
        <w:spacing w:after="0" w:line="240" w:lineRule="auto"/>
        <w:rPr>
          <w:color w:val="000000"/>
        </w:rPr>
      </w:pPr>
      <w:r w:rsidRPr="007C0FC7">
        <w:rPr>
          <w:rFonts w:cs="Adobe Garamond Pro"/>
          <w:color w:val="221E1F"/>
        </w:rPr>
        <w:t xml:space="preserve">Currently, </w:t>
      </w:r>
      <w:r>
        <w:rPr>
          <w:rFonts w:cs="Adobe Garamond Pro"/>
          <w:color w:val="221E1F"/>
        </w:rPr>
        <w:t xml:space="preserve">approximately half of </w:t>
      </w:r>
      <w:r w:rsidRPr="007C0FC7">
        <w:rPr>
          <w:rFonts w:cs="Adobe Garamond Pro"/>
          <w:color w:val="221E1F"/>
        </w:rPr>
        <w:t>NCI-CC’s are included in the ETCTN</w:t>
      </w:r>
      <w:r>
        <w:rPr>
          <w:rFonts w:cs="Adobe Garamond Pro"/>
          <w:color w:val="221E1F"/>
        </w:rPr>
        <w:t>, either by holding a UM1 grant or</w:t>
      </w:r>
      <w:r w:rsidRPr="007C0FC7">
        <w:rPr>
          <w:rFonts w:cs="Adobe Garamond Pro"/>
          <w:color w:val="221E1F"/>
        </w:rPr>
        <w:t xml:space="preserve"> a</w:t>
      </w:r>
      <w:r>
        <w:rPr>
          <w:rFonts w:cs="Adobe Garamond Pro"/>
          <w:color w:val="221E1F"/>
        </w:rPr>
        <w:t>s an affiliate of a UM1 grantee</w:t>
      </w:r>
      <w:r w:rsidRPr="007C0FC7">
        <w:rPr>
          <w:rFonts w:cs="Adobe Garamond Pro"/>
          <w:color w:val="221E1F"/>
        </w:rPr>
        <w:t xml:space="preserve">. </w:t>
      </w:r>
      <w:r w:rsidRPr="002E2229">
        <w:rPr>
          <w:b/>
          <w:i/>
        </w:rPr>
        <w:t xml:space="preserve">The purpose of this solicitation is to </w:t>
      </w:r>
      <w:r w:rsidRPr="002E2229">
        <w:rPr>
          <w:b/>
          <w:i/>
          <w:color w:val="000000"/>
        </w:rPr>
        <w:t xml:space="preserve">give investigators at other </w:t>
      </w:r>
      <w:r w:rsidR="006721FD">
        <w:rPr>
          <w:b/>
          <w:i/>
          <w:color w:val="000000"/>
        </w:rPr>
        <w:t>NCI-CC</w:t>
      </w:r>
      <w:r w:rsidRPr="002E2229">
        <w:rPr>
          <w:b/>
          <w:i/>
          <w:color w:val="000000"/>
        </w:rPr>
        <w:t>s the same opportunity to submit proposals for innovative clinical studies to CTEP and, if approved, the necessary</w:t>
      </w:r>
      <w:r w:rsidR="009508B4">
        <w:rPr>
          <w:b/>
          <w:i/>
          <w:color w:val="000000"/>
        </w:rPr>
        <w:t xml:space="preserve"> ETCTN</w:t>
      </w:r>
      <w:r w:rsidRPr="002E2229">
        <w:rPr>
          <w:b/>
          <w:i/>
          <w:color w:val="000000"/>
        </w:rPr>
        <w:t xml:space="preserve"> resources to be able to conduct the</w:t>
      </w:r>
      <w:r w:rsidR="00783150">
        <w:rPr>
          <w:b/>
          <w:i/>
          <w:color w:val="000000"/>
        </w:rPr>
        <w:t>ir</w:t>
      </w:r>
      <w:r w:rsidRPr="002E2229">
        <w:rPr>
          <w:b/>
          <w:i/>
          <w:color w:val="000000"/>
        </w:rPr>
        <w:t xml:space="preserve"> study</w:t>
      </w:r>
      <w:r w:rsidRPr="002E2229">
        <w:rPr>
          <w:i/>
          <w:color w:val="000000"/>
        </w:rPr>
        <w:t>.</w:t>
      </w:r>
      <w:r w:rsidRPr="007C0FC7">
        <w:rPr>
          <w:color w:val="000000"/>
        </w:rPr>
        <w:t xml:space="preserve"> These resources include </w:t>
      </w:r>
      <w:r w:rsidR="00783150">
        <w:rPr>
          <w:color w:val="000000"/>
        </w:rPr>
        <w:t xml:space="preserve">access to NCI-IND agents for the clinical trial, </w:t>
      </w:r>
      <w:r w:rsidR="002E2229">
        <w:rPr>
          <w:color w:val="000000"/>
        </w:rPr>
        <w:t xml:space="preserve">access to ETCTN clinical trial sites for patient accrual, </w:t>
      </w:r>
      <w:r w:rsidR="00783150">
        <w:rPr>
          <w:color w:val="000000"/>
        </w:rPr>
        <w:t>and complete</w:t>
      </w:r>
      <w:r w:rsidRPr="007C0FC7">
        <w:rPr>
          <w:color w:val="000000"/>
        </w:rPr>
        <w:t xml:space="preserve"> centralized clinical trial support of the ETCTN</w:t>
      </w:r>
      <w:r w:rsidR="00783150">
        <w:rPr>
          <w:color w:val="000000"/>
        </w:rPr>
        <w:t xml:space="preserve">, including </w:t>
      </w:r>
      <w:r w:rsidR="00EF3EC4">
        <w:rPr>
          <w:color w:val="000000"/>
        </w:rPr>
        <w:t>C</w:t>
      </w:r>
      <w:r w:rsidR="00783150">
        <w:rPr>
          <w:color w:val="000000"/>
        </w:rPr>
        <w:t>entral Institutional Review Board, centralized patient registration, centralized data collection</w:t>
      </w:r>
      <w:r w:rsidR="009508B4">
        <w:rPr>
          <w:color w:val="000000"/>
        </w:rPr>
        <w:t xml:space="preserve"> and data management</w:t>
      </w:r>
      <w:r w:rsidR="00783150">
        <w:rPr>
          <w:color w:val="000000"/>
        </w:rPr>
        <w:t xml:space="preserve">, and CTEP regulatory support. In addition, funds will be awarded </w:t>
      </w:r>
      <w:r w:rsidR="00783150" w:rsidRPr="007C0FC7">
        <w:rPr>
          <w:color w:val="000000"/>
        </w:rPr>
        <w:t xml:space="preserve">to offset </w:t>
      </w:r>
      <w:r w:rsidR="00CF7FDF">
        <w:rPr>
          <w:color w:val="000000"/>
        </w:rPr>
        <w:t>trial</w:t>
      </w:r>
      <w:r w:rsidR="00783150" w:rsidRPr="007C0FC7">
        <w:rPr>
          <w:color w:val="000000"/>
        </w:rPr>
        <w:t xml:space="preserve"> expenses at the home </w:t>
      </w:r>
      <w:r w:rsidR="006721FD">
        <w:rPr>
          <w:color w:val="000000"/>
        </w:rPr>
        <w:t>NCI-CC</w:t>
      </w:r>
      <w:r w:rsidR="00783150">
        <w:rPr>
          <w:color w:val="000000"/>
        </w:rPr>
        <w:t>.</w:t>
      </w:r>
    </w:p>
    <w:p w14:paraId="100EFDE6" w14:textId="77777777" w:rsidR="00A13987" w:rsidRDefault="00A13987" w:rsidP="00871E96">
      <w:pPr>
        <w:spacing w:after="0" w:line="240" w:lineRule="auto"/>
        <w:rPr>
          <w:color w:val="000000"/>
        </w:rPr>
      </w:pPr>
    </w:p>
    <w:p w14:paraId="2A2F22DE" w14:textId="77777777" w:rsidR="00A13987" w:rsidRPr="007C0FC7" w:rsidRDefault="00A13987" w:rsidP="00871E96">
      <w:pPr>
        <w:spacing w:after="0" w:line="240" w:lineRule="auto"/>
        <w:rPr>
          <w:color w:val="000000"/>
        </w:rPr>
      </w:pPr>
      <w:r w:rsidRPr="00C21940">
        <w:rPr>
          <w:color w:val="000000"/>
        </w:rPr>
        <w:t xml:space="preserve">In addition these supplements may also be awarded to investigators with CTEP-approved protocols or Letters of Intent (LOI) who </w:t>
      </w:r>
      <w:proofErr w:type="gramStart"/>
      <w:r w:rsidRPr="00C21940">
        <w:rPr>
          <w:color w:val="000000"/>
        </w:rPr>
        <w:t>reside</w:t>
      </w:r>
      <w:proofErr w:type="gramEnd"/>
      <w:r w:rsidRPr="00C21940">
        <w:rPr>
          <w:color w:val="000000"/>
        </w:rPr>
        <w:t xml:space="preserve"> at NCI-designated cancer centers formerly affiliated with the ETCTN N01 phase 2 contract program </w:t>
      </w:r>
      <w:r w:rsidR="00EF3EC4">
        <w:rPr>
          <w:color w:val="000000"/>
        </w:rPr>
        <w:t>that are no longer affiliated with the ETCTN</w:t>
      </w:r>
      <w:r w:rsidRPr="00C21940">
        <w:rPr>
          <w:color w:val="000000"/>
        </w:rPr>
        <w:t>. These awards will allow previously-approved high-priority trials to complete accrual within the ETCTN.</w:t>
      </w:r>
    </w:p>
    <w:p w14:paraId="6D596EF8" w14:textId="77777777" w:rsidR="00871E96" w:rsidRPr="007C0FC7" w:rsidRDefault="00871E96" w:rsidP="00871E96">
      <w:pPr>
        <w:spacing w:after="0" w:line="240" w:lineRule="auto"/>
        <w:rPr>
          <w:color w:val="000000"/>
        </w:rPr>
      </w:pPr>
    </w:p>
    <w:p w14:paraId="1B031582" w14:textId="77777777" w:rsidR="00871E96" w:rsidRDefault="00871E96" w:rsidP="00871E96">
      <w:pPr>
        <w:spacing w:after="0" w:line="240" w:lineRule="auto"/>
        <w:rPr>
          <w:b/>
          <w:color w:val="000000"/>
        </w:rPr>
      </w:pPr>
      <w:r w:rsidRPr="007C0FC7">
        <w:rPr>
          <w:b/>
          <w:color w:val="000000"/>
        </w:rPr>
        <w:t>Eligible Institutions</w:t>
      </w:r>
    </w:p>
    <w:p w14:paraId="605CE7FA" w14:textId="77777777" w:rsidR="00E144FE" w:rsidRPr="007C0FC7" w:rsidRDefault="00E144FE" w:rsidP="00871E96">
      <w:pPr>
        <w:spacing w:after="0" w:line="240" w:lineRule="auto"/>
        <w:rPr>
          <w:b/>
          <w:color w:val="000000"/>
        </w:rPr>
      </w:pPr>
    </w:p>
    <w:p w14:paraId="673C5429" w14:textId="77777777" w:rsidR="00871E96" w:rsidRPr="007C0FC7" w:rsidRDefault="00871E96" w:rsidP="00871E96">
      <w:pPr>
        <w:spacing w:after="0" w:line="240" w:lineRule="auto"/>
        <w:rPr>
          <w:color w:val="000000"/>
        </w:rPr>
      </w:pPr>
      <w:r>
        <w:rPr>
          <w:color w:val="000000"/>
        </w:rPr>
        <w:t xml:space="preserve">Investigators </w:t>
      </w:r>
      <w:r w:rsidR="003108E5">
        <w:rPr>
          <w:color w:val="000000"/>
        </w:rPr>
        <w:t>who are members of</w:t>
      </w:r>
      <w:r w:rsidRPr="007C0FC7">
        <w:rPr>
          <w:color w:val="000000"/>
        </w:rPr>
        <w:t xml:space="preserve"> clinical and comprehensive </w:t>
      </w:r>
      <w:r w:rsidR="00E144FE" w:rsidRPr="007C0FC7">
        <w:rPr>
          <w:color w:val="000000"/>
        </w:rPr>
        <w:t>NC</w:t>
      </w:r>
      <w:r w:rsidR="00E144FE">
        <w:rPr>
          <w:color w:val="000000"/>
        </w:rPr>
        <w:t>I</w:t>
      </w:r>
      <w:r w:rsidRPr="007C0FC7">
        <w:rPr>
          <w:color w:val="000000"/>
        </w:rPr>
        <w:t xml:space="preserve">-designated </w:t>
      </w:r>
      <w:r>
        <w:rPr>
          <w:color w:val="000000"/>
        </w:rPr>
        <w:t>C</w:t>
      </w:r>
      <w:r w:rsidRPr="007C0FC7">
        <w:rPr>
          <w:color w:val="000000"/>
        </w:rPr>
        <w:t xml:space="preserve">ancer </w:t>
      </w:r>
      <w:r>
        <w:rPr>
          <w:color w:val="000000"/>
        </w:rPr>
        <w:t>C</w:t>
      </w:r>
      <w:r w:rsidRPr="007C0FC7">
        <w:rPr>
          <w:color w:val="000000"/>
        </w:rPr>
        <w:t xml:space="preserve">enters </w:t>
      </w:r>
      <w:r w:rsidRPr="007848F2">
        <w:rPr>
          <w:b/>
          <w:i/>
          <w:color w:val="000000"/>
        </w:rPr>
        <w:t>that are not currently affiliated with an ETCTN UM1 grant</w:t>
      </w:r>
      <w:r>
        <w:rPr>
          <w:color w:val="000000"/>
        </w:rPr>
        <w:t xml:space="preserve"> </w:t>
      </w:r>
      <w:r w:rsidRPr="007C0FC7">
        <w:rPr>
          <w:color w:val="000000"/>
        </w:rPr>
        <w:t xml:space="preserve">are eligible to apply. </w:t>
      </w:r>
    </w:p>
    <w:p w14:paraId="107589C8" w14:textId="77777777" w:rsidR="00F71F6C" w:rsidRPr="007C0FC7" w:rsidRDefault="00F71F6C" w:rsidP="0072469D">
      <w:pPr>
        <w:spacing w:after="0" w:line="240" w:lineRule="auto"/>
        <w:rPr>
          <w:color w:val="000000"/>
        </w:rPr>
      </w:pPr>
    </w:p>
    <w:p w14:paraId="08336BD1" w14:textId="77777777" w:rsidR="00961283" w:rsidRDefault="00961283" w:rsidP="0072469D">
      <w:pPr>
        <w:spacing w:after="0" w:line="240" w:lineRule="auto"/>
        <w:rPr>
          <w:b/>
          <w:color w:val="000000"/>
        </w:rPr>
      </w:pPr>
      <w:r w:rsidRPr="007C0FC7">
        <w:rPr>
          <w:b/>
          <w:color w:val="000000"/>
        </w:rPr>
        <w:t>Number of Applications</w:t>
      </w:r>
    </w:p>
    <w:p w14:paraId="37BBE035" w14:textId="77777777" w:rsidR="00E144FE" w:rsidRPr="007C0FC7" w:rsidRDefault="00E144FE" w:rsidP="0072469D">
      <w:pPr>
        <w:spacing w:after="0" w:line="240" w:lineRule="auto"/>
        <w:rPr>
          <w:b/>
          <w:color w:val="000000"/>
        </w:rPr>
      </w:pPr>
    </w:p>
    <w:p w14:paraId="3D951C55" w14:textId="77777777" w:rsidR="00961283" w:rsidRDefault="00871E96" w:rsidP="0072469D">
      <w:pPr>
        <w:spacing w:after="0" w:line="240" w:lineRule="auto"/>
        <w:rPr>
          <w:color w:val="000000"/>
        </w:rPr>
      </w:pPr>
      <w:r w:rsidRPr="007C0FC7">
        <w:rPr>
          <w:color w:val="000000"/>
        </w:rPr>
        <w:t xml:space="preserve">Only one application per </w:t>
      </w:r>
      <w:r w:rsidR="006721FD">
        <w:rPr>
          <w:color w:val="000000"/>
        </w:rPr>
        <w:t>NCI-CC</w:t>
      </w:r>
      <w:r w:rsidRPr="007C0FC7">
        <w:rPr>
          <w:color w:val="000000"/>
        </w:rPr>
        <w:t xml:space="preserve"> is allowed per </w:t>
      </w:r>
      <w:r>
        <w:rPr>
          <w:color w:val="000000"/>
        </w:rPr>
        <w:t xml:space="preserve">fiscal </w:t>
      </w:r>
      <w:r w:rsidRPr="007C0FC7">
        <w:rPr>
          <w:color w:val="000000"/>
        </w:rPr>
        <w:t>year.</w:t>
      </w:r>
      <w:r>
        <w:rPr>
          <w:color w:val="000000"/>
        </w:rPr>
        <w:t xml:space="preserve"> Each application must include a cover letter from the </w:t>
      </w:r>
      <w:r w:rsidR="006721FD">
        <w:rPr>
          <w:color w:val="000000"/>
        </w:rPr>
        <w:t>NCI-CC</w:t>
      </w:r>
      <w:r>
        <w:rPr>
          <w:color w:val="000000"/>
        </w:rPr>
        <w:t xml:space="preserve"> Director, with concurrence from the Authorized Organization Official (AOR), stating that the submitted </w:t>
      </w:r>
      <w:r w:rsidR="00A13987">
        <w:rPr>
          <w:color w:val="000000"/>
        </w:rPr>
        <w:t>LOI</w:t>
      </w:r>
      <w:r>
        <w:rPr>
          <w:color w:val="000000"/>
        </w:rPr>
        <w:t xml:space="preserve"> is the </w:t>
      </w:r>
      <w:r w:rsidR="006721FD">
        <w:rPr>
          <w:color w:val="000000"/>
        </w:rPr>
        <w:t>NCI-CC</w:t>
      </w:r>
      <w:r>
        <w:rPr>
          <w:color w:val="000000"/>
        </w:rPr>
        <w:t xml:space="preserve"> LOI submission for the year. </w:t>
      </w:r>
      <w:r w:rsidR="00B85025">
        <w:rPr>
          <w:color w:val="000000"/>
        </w:rPr>
        <w:t xml:space="preserve">However, if an LOI from an </w:t>
      </w:r>
      <w:r w:rsidR="006721FD">
        <w:rPr>
          <w:color w:val="000000"/>
        </w:rPr>
        <w:t>NCI-CC</w:t>
      </w:r>
      <w:r w:rsidR="00B85025">
        <w:rPr>
          <w:color w:val="000000"/>
        </w:rPr>
        <w:t xml:space="preserve"> is approved through this program, then </w:t>
      </w:r>
      <w:r w:rsidR="00A31662">
        <w:rPr>
          <w:color w:val="000000"/>
        </w:rPr>
        <w:t xml:space="preserve">that </w:t>
      </w:r>
      <w:r w:rsidR="006721FD">
        <w:rPr>
          <w:color w:val="000000"/>
        </w:rPr>
        <w:t>NCI-CC</w:t>
      </w:r>
      <w:r w:rsidR="00A31662">
        <w:rPr>
          <w:color w:val="000000"/>
        </w:rPr>
        <w:t xml:space="preserve"> may submit a second</w:t>
      </w:r>
      <w:r w:rsidR="00B85025">
        <w:rPr>
          <w:color w:val="000000"/>
        </w:rPr>
        <w:t xml:space="preserve"> LOI </w:t>
      </w:r>
      <w:r w:rsidR="00A31662">
        <w:rPr>
          <w:color w:val="000000"/>
        </w:rPr>
        <w:t>d</w:t>
      </w:r>
      <w:r w:rsidR="00B85025">
        <w:rPr>
          <w:color w:val="000000"/>
        </w:rPr>
        <w:t xml:space="preserve">uring the </w:t>
      </w:r>
      <w:r>
        <w:rPr>
          <w:color w:val="000000"/>
        </w:rPr>
        <w:t xml:space="preserve">fiscal </w:t>
      </w:r>
      <w:r w:rsidR="00B85025">
        <w:rPr>
          <w:color w:val="000000"/>
        </w:rPr>
        <w:t>year.</w:t>
      </w:r>
    </w:p>
    <w:p w14:paraId="1C6CC2DF" w14:textId="77777777" w:rsidR="00E21C4E" w:rsidRDefault="00E21C4E" w:rsidP="0072469D">
      <w:pPr>
        <w:spacing w:after="0" w:line="240" w:lineRule="auto"/>
        <w:rPr>
          <w:color w:val="000000"/>
        </w:rPr>
      </w:pPr>
    </w:p>
    <w:p w14:paraId="137C9E43" w14:textId="77777777" w:rsidR="00E21C4E" w:rsidRPr="00E21C4E" w:rsidRDefault="004D0B52" w:rsidP="0072469D">
      <w:pPr>
        <w:spacing w:after="0" w:line="240" w:lineRule="auto"/>
        <w:rPr>
          <w:b/>
          <w:color w:val="000000"/>
        </w:rPr>
      </w:pPr>
      <w:r>
        <w:rPr>
          <w:b/>
          <w:color w:val="000000"/>
        </w:rPr>
        <w:t>LOI A</w:t>
      </w:r>
      <w:r w:rsidR="00E21C4E" w:rsidRPr="00E21C4E">
        <w:rPr>
          <w:b/>
          <w:color w:val="000000"/>
        </w:rPr>
        <w:t>pplication Instructions</w:t>
      </w:r>
    </w:p>
    <w:p w14:paraId="2ED01B20" w14:textId="77777777" w:rsidR="00E21C4E" w:rsidRDefault="00E21C4E" w:rsidP="0072469D">
      <w:pPr>
        <w:spacing w:after="0" w:line="240" w:lineRule="auto"/>
        <w:rPr>
          <w:color w:val="000000"/>
        </w:rPr>
      </w:pPr>
    </w:p>
    <w:p w14:paraId="00AD699B" w14:textId="77777777" w:rsidR="0071636F" w:rsidRDefault="00E21C4E" w:rsidP="00D430C1">
      <w:pPr>
        <w:spacing w:after="0" w:line="240" w:lineRule="auto"/>
        <w:rPr>
          <w:color w:val="000000"/>
        </w:rPr>
      </w:pPr>
      <w:r>
        <w:rPr>
          <w:color w:val="000000"/>
        </w:rPr>
        <w:t xml:space="preserve">Applications will be made as a Letter of Intent available at </w:t>
      </w:r>
      <w:hyperlink r:id="rId7" w:history="1">
        <w:r w:rsidRPr="00E21C4E">
          <w:rPr>
            <w:rStyle w:val="Hyperlink"/>
          </w:rPr>
          <w:t>http://ctep.cancer.gov/protocolDevelopment/docs/loi_form.docx</w:t>
        </w:r>
      </w:hyperlink>
      <w:r>
        <w:rPr>
          <w:color w:val="000000"/>
        </w:rPr>
        <w:t>.</w:t>
      </w:r>
    </w:p>
    <w:p w14:paraId="17B8FDA8" w14:textId="77777777" w:rsidR="00E21C4E" w:rsidRDefault="00E21C4E" w:rsidP="00D430C1">
      <w:pPr>
        <w:spacing w:after="0" w:line="240" w:lineRule="auto"/>
        <w:rPr>
          <w:color w:val="000000"/>
        </w:rPr>
      </w:pPr>
    </w:p>
    <w:p w14:paraId="2EE7DF2A" w14:textId="77777777" w:rsidR="00D26595" w:rsidRDefault="00E21C4E" w:rsidP="00D430C1">
      <w:pPr>
        <w:spacing w:after="0" w:line="240" w:lineRule="auto"/>
        <w:rPr>
          <w:color w:val="000000"/>
        </w:rPr>
      </w:pPr>
      <w:r>
        <w:rPr>
          <w:color w:val="000000"/>
        </w:rPr>
        <w:t>Applications should be submitted to the CTEP Protocol Information Off</w:t>
      </w:r>
      <w:r w:rsidR="00FF0FE4">
        <w:rPr>
          <w:color w:val="000000"/>
        </w:rPr>
        <w:t>ice</w:t>
      </w:r>
      <w:r w:rsidR="00D26595">
        <w:rPr>
          <w:color w:val="000000"/>
        </w:rPr>
        <w:t xml:space="preserve"> (PIO)</w:t>
      </w:r>
      <w:r w:rsidR="00FF0FE4">
        <w:rPr>
          <w:color w:val="000000"/>
        </w:rPr>
        <w:t xml:space="preserve"> as directed on the LOI form. A copy of the submission should be sent to the </w:t>
      </w:r>
      <w:r w:rsidR="006721FD">
        <w:rPr>
          <w:color w:val="000000"/>
        </w:rPr>
        <w:t>NCI-CC</w:t>
      </w:r>
      <w:r w:rsidR="00FF0FE4">
        <w:rPr>
          <w:color w:val="000000"/>
        </w:rPr>
        <w:t xml:space="preserve"> Program Office.</w:t>
      </w:r>
      <w:r w:rsidR="00B85025">
        <w:rPr>
          <w:color w:val="000000"/>
        </w:rPr>
        <w:t xml:space="preserve"> </w:t>
      </w:r>
    </w:p>
    <w:p w14:paraId="10691807" w14:textId="77777777" w:rsidR="00D26595" w:rsidRDefault="00D26595" w:rsidP="00D430C1">
      <w:pPr>
        <w:spacing w:after="0" w:line="240" w:lineRule="auto"/>
        <w:rPr>
          <w:color w:val="000000"/>
        </w:rPr>
      </w:pPr>
    </w:p>
    <w:p w14:paraId="2ACB847F" w14:textId="77777777" w:rsidR="00321BD3" w:rsidRPr="004D0B52" w:rsidRDefault="00321BD3" w:rsidP="00321BD3">
      <w:pPr>
        <w:spacing w:after="0" w:line="240" w:lineRule="auto"/>
        <w:rPr>
          <w:color w:val="000000"/>
        </w:rPr>
      </w:pPr>
      <w:r>
        <w:rPr>
          <w:color w:val="000000"/>
        </w:rPr>
        <w:t>LOI’s m</w:t>
      </w:r>
      <w:r w:rsidRPr="004D0B52">
        <w:rPr>
          <w:color w:val="000000"/>
        </w:rPr>
        <w:t xml:space="preserve">ust </w:t>
      </w:r>
      <w:r>
        <w:rPr>
          <w:color w:val="000000"/>
        </w:rPr>
        <w:t>involve the development of</w:t>
      </w:r>
      <w:r w:rsidRPr="004D0B52">
        <w:rPr>
          <w:color w:val="000000"/>
        </w:rPr>
        <w:t xml:space="preserve"> NCI IND agents</w:t>
      </w:r>
      <w:r>
        <w:rPr>
          <w:color w:val="000000"/>
        </w:rPr>
        <w:t>. A list of NCI IND agents can be found at:</w:t>
      </w:r>
      <w:r w:rsidRPr="004D0B52">
        <w:rPr>
          <w:color w:val="000000"/>
        </w:rPr>
        <w:t xml:space="preserve"> http://ctep.cancer.gov/protocolDevelopment/agents_drugs.htm</w:t>
      </w:r>
    </w:p>
    <w:p w14:paraId="5CA6C3F4" w14:textId="77777777" w:rsidR="008934CF" w:rsidRDefault="008934CF" w:rsidP="00D430C1">
      <w:pPr>
        <w:spacing w:after="0" w:line="240" w:lineRule="auto"/>
        <w:rPr>
          <w:color w:val="000000"/>
        </w:rPr>
      </w:pPr>
    </w:p>
    <w:p w14:paraId="04B85899" w14:textId="77777777" w:rsidR="002E2229" w:rsidRDefault="00871E96" w:rsidP="00871E96">
      <w:pPr>
        <w:spacing w:after="0" w:line="240" w:lineRule="auto"/>
        <w:rPr>
          <w:color w:val="000000"/>
        </w:rPr>
      </w:pPr>
      <w:r>
        <w:rPr>
          <w:color w:val="000000"/>
        </w:rPr>
        <w:t xml:space="preserve">LOI’s must be approved by the local </w:t>
      </w:r>
      <w:r w:rsidR="006721FD">
        <w:rPr>
          <w:color w:val="000000"/>
        </w:rPr>
        <w:t>NCI-CC</w:t>
      </w:r>
      <w:r>
        <w:rPr>
          <w:color w:val="000000"/>
        </w:rPr>
        <w:t xml:space="preserve"> Protocol Review and Monitoring System (PRMS) before submission to CTEP to help ensure quality submissions. </w:t>
      </w:r>
    </w:p>
    <w:p w14:paraId="2F2BA56C" w14:textId="77777777" w:rsidR="00D26595" w:rsidRDefault="00D26595" w:rsidP="00871E96">
      <w:pPr>
        <w:spacing w:after="0" w:line="240" w:lineRule="auto"/>
        <w:rPr>
          <w:color w:val="000000"/>
        </w:rPr>
      </w:pPr>
    </w:p>
    <w:p w14:paraId="3875F0C8" w14:textId="77777777" w:rsidR="00D26595" w:rsidRDefault="00D26595" w:rsidP="00D26595">
      <w:pPr>
        <w:spacing w:after="0" w:line="240" w:lineRule="auto"/>
        <w:rPr>
          <w:color w:val="000000"/>
        </w:rPr>
      </w:pPr>
      <w:r>
        <w:rPr>
          <w:color w:val="000000"/>
        </w:rPr>
        <w:t xml:space="preserve">LOI’s submitted to PIO under this initiative must include a cover letter from the </w:t>
      </w:r>
      <w:r w:rsidR="006721FD">
        <w:rPr>
          <w:color w:val="000000"/>
        </w:rPr>
        <w:t>NCI-CC</w:t>
      </w:r>
      <w:r>
        <w:rPr>
          <w:color w:val="000000"/>
        </w:rPr>
        <w:t xml:space="preserve"> </w:t>
      </w:r>
      <w:r w:rsidR="00BD257D">
        <w:rPr>
          <w:color w:val="000000"/>
        </w:rPr>
        <w:t>D</w:t>
      </w:r>
      <w:r>
        <w:rPr>
          <w:color w:val="000000"/>
        </w:rPr>
        <w:t xml:space="preserve">irector </w:t>
      </w:r>
      <w:r w:rsidR="000E6348">
        <w:rPr>
          <w:color w:val="000000"/>
        </w:rPr>
        <w:t xml:space="preserve">that </w:t>
      </w:r>
      <w:r>
        <w:rPr>
          <w:color w:val="000000"/>
        </w:rPr>
        <w:t>states:</w:t>
      </w:r>
    </w:p>
    <w:p w14:paraId="1FA30C9D" w14:textId="77777777" w:rsidR="00D26595" w:rsidRDefault="002E2229" w:rsidP="000E6348">
      <w:pPr>
        <w:numPr>
          <w:ilvl w:val="0"/>
          <w:numId w:val="8"/>
        </w:numPr>
        <w:spacing w:after="0" w:line="240" w:lineRule="auto"/>
        <w:rPr>
          <w:color w:val="000000"/>
        </w:rPr>
      </w:pPr>
      <w:r>
        <w:rPr>
          <w:color w:val="000000"/>
        </w:rPr>
        <w:t xml:space="preserve">That </w:t>
      </w:r>
      <w:r w:rsidR="00D26595">
        <w:rPr>
          <w:color w:val="000000"/>
        </w:rPr>
        <w:t xml:space="preserve">the LOI is submitted through the </w:t>
      </w:r>
      <w:r>
        <w:rPr>
          <w:color w:val="000000"/>
        </w:rPr>
        <w:t>ETCTN-</w:t>
      </w:r>
      <w:r w:rsidR="00D26595">
        <w:rPr>
          <w:color w:val="000000"/>
        </w:rPr>
        <w:t>P30 supplement program</w:t>
      </w:r>
    </w:p>
    <w:p w14:paraId="4D27A259" w14:textId="77777777" w:rsidR="00E61A73" w:rsidRDefault="00E61A73" w:rsidP="000E6348">
      <w:pPr>
        <w:numPr>
          <w:ilvl w:val="0"/>
          <w:numId w:val="8"/>
        </w:numPr>
        <w:spacing w:after="0" w:line="240" w:lineRule="auto"/>
        <w:rPr>
          <w:color w:val="000000"/>
        </w:rPr>
      </w:pPr>
      <w:r>
        <w:rPr>
          <w:color w:val="000000"/>
        </w:rPr>
        <w:t>P30 grant number</w:t>
      </w:r>
    </w:p>
    <w:p w14:paraId="048C1CD5" w14:textId="77777777" w:rsidR="00D26595" w:rsidRDefault="002E2229" w:rsidP="000E6348">
      <w:pPr>
        <w:numPr>
          <w:ilvl w:val="0"/>
          <w:numId w:val="8"/>
        </w:numPr>
        <w:spacing w:after="0" w:line="240" w:lineRule="auto"/>
        <w:rPr>
          <w:color w:val="000000"/>
        </w:rPr>
      </w:pPr>
      <w:r>
        <w:rPr>
          <w:color w:val="000000"/>
        </w:rPr>
        <w:t xml:space="preserve">An </w:t>
      </w:r>
      <w:r w:rsidR="00D26595">
        <w:rPr>
          <w:color w:val="000000"/>
        </w:rPr>
        <w:t xml:space="preserve">attestation that the LOI is the single LOI submission from the </w:t>
      </w:r>
      <w:r w:rsidR="006721FD">
        <w:rPr>
          <w:color w:val="000000"/>
        </w:rPr>
        <w:t>NCI-CC</w:t>
      </w:r>
      <w:r w:rsidR="00D26595">
        <w:rPr>
          <w:color w:val="000000"/>
        </w:rPr>
        <w:t xml:space="preserve"> for the fiscal year</w:t>
      </w:r>
    </w:p>
    <w:p w14:paraId="0E3ACB75" w14:textId="77777777" w:rsidR="00D26595" w:rsidRDefault="002E2229" w:rsidP="000E6348">
      <w:pPr>
        <w:numPr>
          <w:ilvl w:val="0"/>
          <w:numId w:val="8"/>
        </w:numPr>
        <w:spacing w:after="0" w:line="240" w:lineRule="auto"/>
        <w:rPr>
          <w:color w:val="000000"/>
        </w:rPr>
      </w:pPr>
      <w:r>
        <w:rPr>
          <w:color w:val="000000"/>
        </w:rPr>
        <w:t xml:space="preserve">Documentation </w:t>
      </w:r>
      <w:r w:rsidR="00D26595">
        <w:rPr>
          <w:color w:val="000000"/>
        </w:rPr>
        <w:t>of LOI approval by the local PRMS</w:t>
      </w:r>
    </w:p>
    <w:p w14:paraId="009C0433" w14:textId="77777777" w:rsidR="00E21C4E" w:rsidRDefault="00E21C4E" w:rsidP="00D430C1">
      <w:pPr>
        <w:spacing w:after="0" w:line="240" w:lineRule="auto"/>
        <w:rPr>
          <w:color w:val="000000"/>
        </w:rPr>
      </w:pPr>
    </w:p>
    <w:p w14:paraId="7C59D0F2" w14:textId="77777777" w:rsidR="00E21C4E" w:rsidRDefault="00E21C4E" w:rsidP="00D430C1">
      <w:pPr>
        <w:spacing w:after="0" w:line="240" w:lineRule="auto"/>
        <w:rPr>
          <w:color w:val="000000"/>
        </w:rPr>
      </w:pPr>
      <w:r>
        <w:rPr>
          <w:color w:val="000000"/>
        </w:rPr>
        <w:t xml:space="preserve">Applications will undergo the </w:t>
      </w:r>
      <w:r w:rsidR="00EF3EC4">
        <w:rPr>
          <w:color w:val="000000"/>
        </w:rPr>
        <w:t>standard</w:t>
      </w:r>
      <w:r>
        <w:rPr>
          <w:color w:val="000000"/>
        </w:rPr>
        <w:t xml:space="preserve"> CTEP LOI evaluation process, culminating in a consensus review by the CTEP Protocol Review Committee</w:t>
      </w:r>
      <w:r w:rsidR="00871E96">
        <w:rPr>
          <w:color w:val="000000"/>
        </w:rPr>
        <w:t xml:space="preserve"> (PRC)</w:t>
      </w:r>
      <w:r>
        <w:rPr>
          <w:color w:val="000000"/>
        </w:rPr>
        <w:t>.</w:t>
      </w:r>
    </w:p>
    <w:p w14:paraId="1CB1CB81" w14:textId="77777777" w:rsidR="004D0B52" w:rsidRDefault="004D0B52" w:rsidP="00D430C1">
      <w:pPr>
        <w:spacing w:after="0" w:line="240" w:lineRule="auto"/>
        <w:rPr>
          <w:color w:val="000000"/>
        </w:rPr>
      </w:pPr>
    </w:p>
    <w:p w14:paraId="6BD8CEFB" w14:textId="77777777" w:rsidR="004D0B52" w:rsidRDefault="004D0B52" w:rsidP="00D430C1">
      <w:pPr>
        <w:spacing w:after="0" w:line="240" w:lineRule="auto"/>
        <w:rPr>
          <w:color w:val="000000"/>
        </w:rPr>
      </w:pPr>
      <w:r>
        <w:rPr>
          <w:color w:val="000000"/>
        </w:rPr>
        <w:t>The acceptance rate for LOIs has historically been approximately 30%.  The following considerations</w:t>
      </w:r>
      <w:r w:rsidR="00FF0FE4">
        <w:rPr>
          <w:color w:val="000000"/>
        </w:rPr>
        <w:t xml:space="preserve"> should guide LOI development:</w:t>
      </w:r>
    </w:p>
    <w:p w14:paraId="77895915" w14:textId="77777777" w:rsidR="004D0B52" w:rsidRDefault="004D0B52" w:rsidP="00D430C1">
      <w:pPr>
        <w:spacing w:after="0" w:line="240" w:lineRule="auto"/>
        <w:rPr>
          <w:color w:val="000000"/>
        </w:rPr>
      </w:pPr>
    </w:p>
    <w:p w14:paraId="6B2B7C07" w14:textId="77777777" w:rsidR="004D0B52" w:rsidRDefault="004D0B52" w:rsidP="004D0B52">
      <w:pPr>
        <w:numPr>
          <w:ilvl w:val="0"/>
          <w:numId w:val="7"/>
        </w:numPr>
        <w:spacing w:after="0" w:line="240" w:lineRule="auto"/>
        <w:rPr>
          <w:color w:val="000000"/>
        </w:rPr>
      </w:pPr>
      <w:r w:rsidRPr="004D0B52">
        <w:rPr>
          <w:color w:val="000000"/>
        </w:rPr>
        <w:t>LOI’s must be original and justified by</w:t>
      </w:r>
      <w:r>
        <w:rPr>
          <w:color w:val="000000"/>
        </w:rPr>
        <w:t xml:space="preserve"> robust </w:t>
      </w:r>
      <w:r w:rsidRPr="004D0B52">
        <w:rPr>
          <w:color w:val="000000"/>
        </w:rPr>
        <w:t>preclinical data</w:t>
      </w:r>
      <w:r>
        <w:rPr>
          <w:color w:val="000000"/>
        </w:rPr>
        <w:t xml:space="preserve">, including </w:t>
      </w:r>
      <w:proofErr w:type="spellStart"/>
      <w:r>
        <w:rPr>
          <w:color w:val="000000"/>
        </w:rPr>
        <w:t>xenograft</w:t>
      </w:r>
      <w:proofErr w:type="spellEnd"/>
      <w:r>
        <w:rPr>
          <w:color w:val="000000"/>
        </w:rPr>
        <w:t xml:space="preserve"> studies using relevant tumor models</w:t>
      </w:r>
    </w:p>
    <w:p w14:paraId="7E420D0E" w14:textId="77777777" w:rsidR="008934CF" w:rsidRDefault="008934CF" w:rsidP="004D0B52">
      <w:pPr>
        <w:numPr>
          <w:ilvl w:val="0"/>
          <w:numId w:val="7"/>
        </w:numPr>
        <w:spacing w:after="0" w:line="240" w:lineRule="auto"/>
        <w:rPr>
          <w:color w:val="000000"/>
        </w:rPr>
      </w:pPr>
      <w:r>
        <w:rPr>
          <w:color w:val="000000"/>
        </w:rPr>
        <w:t>Must be feasible in regard to accrual goals</w:t>
      </w:r>
    </w:p>
    <w:p w14:paraId="46FBBD4F" w14:textId="77777777" w:rsidR="008934CF" w:rsidRPr="004D0B52" w:rsidRDefault="008934CF" w:rsidP="004D0B52">
      <w:pPr>
        <w:numPr>
          <w:ilvl w:val="0"/>
          <w:numId w:val="7"/>
        </w:numPr>
        <w:spacing w:after="0" w:line="240" w:lineRule="auto"/>
        <w:rPr>
          <w:color w:val="000000"/>
        </w:rPr>
      </w:pPr>
      <w:r>
        <w:rPr>
          <w:color w:val="000000"/>
        </w:rPr>
        <w:t xml:space="preserve">Must have a sound statistical design </w:t>
      </w:r>
      <w:r w:rsidR="00EF3EC4">
        <w:rPr>
          <w:color w:val="000000"/>
        </w:rPr>
        <w:t>and a designated study statistic</w:t>
      </w:r>
      <w:r w:rsidR="00BD257D">
        <w:rPr>
          <w:color w:val="000000"/>
        </w:rPr>
        <w:t>i</w:t>
      </w:r>
      <w:r w:rsidR="00EF3EC4">
        <w:rPr>
          <w:color w:val="000000"/>
        </w:rPr>
        <w:t>an</w:t>
      </w:r>
    </w:p>
    <w:p w14:paraId="429A56D7" w14:textId="77777777" w:rsidR="004D0B52" w:rsidRPr="004D0B52" w:rsidRDefault="004D0B52" w:rsidP="004D0B52">
      <w:pPr>
        <w:numPr>
          <w:ilvl w:val="0"/>
          <w:numId w:val="7"/>
        </w:numPr>
        <w:spacing w:after="0" w:line="240" w:lineRule="auto"/>
        <w:rPr>
          <w:color w:val="000000"/>
        </w:rPr>
      </w:pPr>
      <w:r>
        <w:rPr>
          <w:color w:val="000000"/>
        </w:rPr>
        <w:t xml:space="preserve">Must not be duplicative of other planned or ongoing studies </w:t>
      </w:r>
      <w:r w:rsidRPr="004D0B52">
        <w:rPr>
          <w:color w:val="000000"/>
        </w:rPr>
        <w:t>- check cancer.gov and clinicaltrials.gov</w:t>
      </w:r>
      <w:r w:rsidR="00EF3EC4">
        <w:rPr>
          <w:color w:val="000000"/>
        </w:rPr>
        <w:t xml:space="preserve"> or contact CTEP</w:t>
      </w:r>
    </w:p>
    <w:p w14:paraId="36025976" w14:textId="77777777" w:rsidR="004D0B52" w:rsidRPr="004D0B52" w:rsidRDefault="004D0B52" w:rsidP="004D0B52">
      <w:pPr>
        <w:numPr>
          <w:ilvl w:val="0"/>
          <w:numId w:val="7"/>
        </w:numPr>
        <w:spacing w:after="0" w:line="240" w:lineRule="auto"/>
        <w:rPr>
          <w:color w:val="000000"/>
        </w:rPr>
      </w:pPr>
      <w:r>
        <w:rPr>
          <w:color w:val="000000"/>
        </w:rPr>
        <w:t>Should conform to NCI Investigational Drug Steering Committee study design criteria for phase 1, phase 2 and biomarker incorporation</w:t>
      </w:r>
    </w:p>
    <w:p w14:paraId="132ED82A" w14:textId="77777777" w:rsidR="004D0B52" w:rsidRDefault="004D0B52" w:rsidP="004D0B52">
      <w:pPr>
        <w:numPr>
          <w:ilvl w:val="0"/>
          <w:numId w:val="7"/>
        </w:numPr>
        <w:spacing w:after="0" w:line="240" w:lineRule="auto"/>
        <w:rPr>
          <w:color w:val="000000"/>
        </w:rPr>
      </w:pPr>
      <w:r>
        <w:rPr>
          <w:color w:val="000000"/>
        </w:rPr>
        <w:t>Should include r</w:t>
      </w:r>
      <w:r w:rsidRPr="004D0B52">
        <w:rPr>
          <w:color w:val="000000"/>
        </w:rPr>
        <w:t xml:space="preserve">elevant biomarkers that demonstrate target engagement and demonstration of </w:t>
      </w:r>
      <w:r w:rsidR="00B85025">
        <w:rPr>
          <w:color w:val="000000"/>
        </w:rPr>
        <w:t>mechanism of action</w:t>
      </w:r>
      <w:r w:rsidR="00B85025" w:rsidRPr="004D0B52">
        <w:rPr>
          <w:color w:val="000000"/>
        </w:rPr>
        <w:t xml:space="preserve"> </w:t>
      </w:r>
      <w:r w:rsidRPr="004D0B52">
        <w:rPr>
          <w:color w:val="000000"/>
        </w:rPr>
        <w:t>in the clinical setting</w:t>
      </w:r>
    </w:p>
    <w:p w14:paraId="07278400" w14:textId="77777777" w:rsidR="00FF0FE4" w:rsidRDefault="00FF0FE4" w:rsidP="00FF0FE4">
      <w:pPr>
        <w:spacing w:after="0" w:line="240" w:lineRule="auto"/>
        <w:rPr>
          <w:color w:val="000000"/>
        </w:rPr>
      </w:pPr>
    </w:p>
    <w:p w14:paraId="11FFA515" w14:textId="77777777" w:rsidR="00EF3EC4" w:rsidRDefault="00FF0FE4" w:rsidP="00EF3EC4">
      <w:pPr>
        <w:spacing w:after="0" w:line="240" w:lineRule="auto"/>
        <w:rPr>
          <w:color w:val="000000"/>
        </w:rPr>
      </w:pPr>
      <w:r>
        <w:rPr>
          <w:color w:val="000000"/>
        </w:rPr>
        <w:t xml:space="preserve">Assays for proposed biomarkers that will be integral or integrated into study objectives </w:t>
      </w:r>
      <w:r w:rsidR="000C5338">
        <w:rPr>
          <w:color w:val="000000"/>
        </w:rPr>
        <w:t>must</w:t>
      </w:r>
      <w:r>
        <w:rPr>
          <w:color w:val="000000"/>
        </w:rPr>
        <w:t xml:space="preserve"> be validated. Data demonstrating the fitness-for-purpose of these biomarker assays </w:t>
      </w:r>
      <w:r w:rsidR="000C5338">
        <w:rPr>
          <w:color w:val="000000"/>
        </w:rPr>
        <w:t>must</w:t>
      </w:r>
      <w:r>
        <w:rPr>
          <w:color w:val="000000"/>
        </w:rPr>
        <w:t xml:space="preserve"> be submitted to CTEP and approved by the Biomarker Review Committee before LOI approval</w:t>
      </w:r>
      <w:r w:rsidR="00EF3EC4">
        <w:rPr>
          <w:color w:val="000000"/>
        </w:rPr>
        <w:t xml:space="preserve">. The PI and NCI-CC </w:t>
      </w:r>
      <w:r w:rsidR="00BD257D">
        <w:rPr>
          <w:color w:val="000000"/>
        </w:rPr>
        <w:t>D</w:t>
      </w:r>
      <w:r w:rsidR="00EF3EC4">
        <w:rPr>
          <w:color w:val="000000"/>
        </w:rPr>
        <w:t xml:space="preserve">irector must agree to comply with NIH and NCI human subjects research polices and other relevant policies such as the </w:t>
      </w:r>
      <w:proofErr w:type="gramStart"/>
      <w:r w:rsidR="00EF3EC4">
        <w:rPr>
          <w:color w:val="000000"/>
        </w:rPr>
        <w:t>NCI  Genomic</w:t>
      </w:r>
      <w:proofErr w:type="gramEnd"/>
      <w:r w:rsidR="00EF3EC4">
        <w:rPr>
          <w:color w:val="000000"/>
        </w:rPr>
        <w:t xml:space="preserve"> Data Sharing Policy. Please refer to the CTEP Investigator Handbook for more information.</w:t>
      </w:r>
    </w:p>
    <w:p w14:paraId="176CC922" w14:textId="77777777" w:rsidR="00E21C4E" w:rsidRPr="007C0FC7" w:rsidRDefault="00E21C4E" w:rsidP="00D430C1">
      <w:pPr>
        <w:spacing w:after="0" w:line="240" w:lineRule="auto"/>
        <w:rPr>
          <w:color w:val="000000"/>
        </w:rPr>
      </w:pPr>
    </w:p>
    <w:p w14:paraId="436CE129" w14:textId="77777777" w:rsidR="00871E96" w:rsidRDefault="00871E96" w:rsidP="00871E96">
      <w:pPr>
        <w:spacing w:after="0" w:line="240" w:lineRule="auto"/>
        <w:rPr>
          <w:b/>
          <w:color w:val="000000"/>
        </w:rPr>
      </w:pPr>
      <w:r w:rsidRPr="007C0FC7">
        <w:rPr>
          <w:b/>
          <w:color w:val="000000"/>
        </w:rPr>
        <w:t>Terms and Conditions of Funding and Allowable Costs</w:t>
      </w:r>
    </w:p>
    <w:p w14:paraId="4306CA7F" w14:textId="77777777" w:rsidR="00E144FE" w:rsidRPr="007C0FC7" w:rsidRDefault="00E144FE" w:rsidP="00871E96">
      <w:pPr>
        <w:spacing w:after="0" w:line="240" w:lineRule="auto"/>
        <w:rPr>
          <w:b/>
          <w:color w:val="000000"/>
        </w:rPr>
      </w:pPr>
    </w:p>
    <w:p w14:paraId="7693337D" w14:textId="77777777" w:rsidR="00871E96" w:rsidRDefault="00871E96" w:rsidP="00871E96">
      <w:pPr>
        <w:spacing w:after="0" w:line="240" w:lineRule="auto"/>
        <w:rPr>
          <w:color w:val="000000"/>
        </w:rPr>
      </w:pPr>
      <w:r w:rsidRPr="007C0FC7">
        <w:rPr>
          <w:color w:val="000000"/>
        </w:rPr>
        <w:t>The budget should justify all the direct and indirect costs. A maximum of $</w:t>
      </w:r>
      <w:r>
        <w:rPr>
          <w:color w:val="000000"/>
        </w:rPr>
        <w:t>62,500</w:t>
      </w:r>
      <w:r w:rsidRPr="007C0FC7">
        <w:rPr>
          <w:color w:val="000000"/>
        </w:rPr>
        <w:t xml:space="preserve"> in total costs</w:t>
      </w:r>
      <w:r>
        <w:rPr>
          <w:color w:val="000000"/>
        </w:rPr>
        <w:t xml:space="preserve"> per 2 years</w:t>
      </w:r>
      <w:r w:rsidRPr="007C0FC7">
        <w:rPr>
          <w:color w:val="000000"/>
        </w:rPr>
        <w:t xml:space="preserve"> will be available </w:t>
      </w:r>
      <w:r>
        <w:rPr>
          <w:color w:val="000000"/>
        </w:rPr>
        <w:t>for</w:t>
      </w:r>
      <w:r w:rsidRPr="007C0FC7">
        <w:rPr>
          <w:color w:val="000000"/>
        </w:rPr>
        <w:t xml:space="preserve"> </w:t>
      </w:r>
      <w:r>
        <w:rPr>
          <w:color w:val="000000"/>
        </w:rPr>
        <w:t>each supplement</w:t>
      </w:r>
      <w:r w:rsidRPr="007C0FC7">
        <w:rPr>
          <w:color w:val="000000"/>
        </w:rPr>
        <w:t xml:space="preserve">. Supplements are for two years only. </w:t>
      </w:r>
      <w:r>
        <w:rPr>
          <w:color w:val="000000"/>
        </w:rPr>
        <w:t xml:space="preserve">We anticipate up to 4 awards will be made per year (4 new awards made per year).  Allowable costs include </w:t>
      </w:r>
      <w:r w:rsidRPr="007C0FC7">
        <w:rPr>
          <w:color w:val="000000"/>
        </w:rPr>
        <w:t xml:space="preserve">funding for </w:t>
      </w:r>
      <w:r>
        <w:rPr>
          <w:color w:val="000000"/>
        </w:rPr>
        <w:t xml:space="preserve">the </w:t>
      </w:r>
      <w:r w:rsidRPr="007C0FC7">
        <w:rPr>
          <w:color w:val="000000"/>
        </w:rPr>
        <w:t>Principal Investigator of the study</w:t>
      </w:r>
      <w:r>
        <w:rPr>
          <w:color w:val="000000"/>
        </w:rPr>
        <w:t xml:space="preserve"> (maximum of 20% effort)</w:t>
      </w:r>
      <w:r w:rsidRPr="007C0FC7">
        <w:rPr>
          <w:color w:val="000000"/>
        </w:rPr>
        <w:t xml:space="preserve">, who must be a member of the </w:t>
      </w:r>
      <w:r w:rsidR="006721FD">
        <w:rPr>
          <w:color w:val="000000"/>
        </w:rPr>
        <w:t>NCI-CC</w:t>
      </w:r>
      <w:r>
        <w:rPr>
          <w:color w:val="000000"/>
        </w:rPr>
        <w:t>, funding for a study statistician,</w:t>
      </w:r>
      <w:r w:rsidRPr="007C0FC7">
        <w:rPr>
          <w:color w:val="000000"/>
        </w:rPr>
        <w:t xml:space="preserve"> </w:t>
      </w:r>
      <w:r>
        <w:rPr>
          <w:color w:val="000000"/>
        </w:rPr>
        <w:t>and f</w:t>
      </w:r>
      <w:r w:rsidRPr="007C0FC7">
        <w:rPr>
          <w:color w:val="000000"/>
        </w:rPr>
        <w:t>unding will also be provided to</w:t>
      </w:r>
      <w:r>
        <w:rPr>
          <w:color w:val="000000"/>
        </w:rPr>
        <w:t xml:space="preserve"> support</w:t>
      </w:r>
      <w:r w:rsidRPr="007C0FC7">
        <w:rPr>
          <w:color w:val="000000"/>
        </w:rPr>
        <w:t xml:space="preserve"> patient accrual to the study at the </w:t>
      </w:r>
      <w:r w:rsidR="006721FD">
        <w:rPr>
          <w:color w:val="000000"/>
        </w:rPr>
        <w:t>NCI-CC</w:t>
      </w:r>
      <w:r w:rsidRPr="007C0FC7">
        <w:rPr>
          <w:color w:val="000000"/>
        </w:rPr>
        <w:t>.</w:t>
      </w:r>
      <w:r>
        <w:rPr>
          <w:color w:val="000000"/>
        </w:rPr>
        <w:t xml:space="preserve"> </w:t>
      </w:r>
      <w:r w:rsidR="00C21940">
        <w:rPr>
          <w:color w:val="000000"/>
        </w:rPr>
        <w:t xml:space="preserve">The PI will be expected to conform to all ETCTN processes and procedures, including the use of the </w:t>
      </w:r>
      <w:r w:rsidR="00BD257D">
        <w:rPr>
          <w:color w:val="000000"/>
        </w:rPr>
        <w:t>C</w:t>
      </w:r>
      <w:r w:rsidR="00C21940">
        <w:rPr>
          <w:color w:val="000000"/>
        </w:rPr>
        <w:t xml:space="preserve">entral IRB, the OPEN registration system, </w:t>
      </w:r>
      <w:proofErr w:type="spellStart"/>
      <w:r w:rsidR="00C21940">
        <w:rPr>
          <w:color w:val="000000"/>
        </w:rPr>
        <w:t>Medidata</w:t>
      </w:r>
      <w:proofErr w:type="spellEnd"/>
      <w:r w:rsidR="00C21940">
        <w:rPr>
          <w:color w:val="000000"/>
        </w:rPr>
        <w:t xml:space="preserve"> Rave for data management, and CTEP-AERS for adverse event reporting.</w:t>
      </w:r>
    </w:p>
    <w:p w14:paraId="082B3BF3" w14:textId="77777777" w:rsidR="006E638E" w:rsidRDefault="006E638E" w:rsidP="00D430C1">
      <w:pPr>
        <w:spacing w:after="0" w:line="240" w:lineRule="auto"/>
        <w:rPr>
          <w:color w:val="000000"/>
        </w:rPr>
      </w:pPr>
    </w:p>
    <w:p w14:paraId="7DA77E5D" w14:textId="77777777" w:rsidR="004A12CF" w:rsidRDefault="004A12CF" w:rsidP="004A12CF">
      <w:pPr>
        <w:spacing w:after="0" w:line="240" w:lineRule="auto"/>
        <w:rPr>
          <w:b/>
        </w:rPr>
      </w:pPr>
      <w:r>
        <w:rPr>
          <w:b/>
        </w:rPr>
        <w:t>Supplement Award Application Procedures</w:t>
      </w:r>
    </w:p>
    <w:p w14:paraId="1DA7B29E" w14:textId="77777777" w:rsidR="004A12CF" w:rsidRPr="005B0D91" w:rsidRDefault="004A12CF" w:rsidP="004A12CF">
      <w:pPr>
        <w:spacing w:after="0" w:line="240" w:lineRule="auto"/>
        <w:rPr>
          <w:b/>
        </w:rPr>
      </w:pPr>
    </w:p>
    <w:p w14:paraId="457C228D" w14:textId="77777777" w:rsidR="004A12CF" w:rsidRDefault="004A12CF" w:rsidP="004A12CF">
      <w:pPr>
        <w:spacing w:after="0" w:line="240" w:lineRule="auto"/>
      </w:pPr>
      <w:r>
        <w:t>If an LOI is approved by CTEP, the PI will be invited to formally apply for a P30 administrative supplement.</w:t>
      </w:r>
    </w:p>
    <w:p w14:paraId="46465C2E" w14:textId="77777777" w:rsidR="004A12CF" w:rsidRDefault="004A12CF" w:rsidP="004A12CF">
      <w:pPr>
        <w:spacing w:after="0" w:line="240" w:lineRule="auto"/>
        <w:ind w:left="720"/>
      </w:pPr>
    </w:p>
    <w:p w14:paraId="144B2C34" w14:textId="77777777" w:rsidR="004A12CF" w:rsidRPr="006E638E" w:rsidRDefault="004A12CF" w:rsidP="004A12CF">
      <w:pPr>
        <w:numPr>
          <w:ilvl w:val="0"/>
          <w:numId w:val="2"/>
        </w:numPr>
        <w:spacing w:after="0" w:line="240" w:lineRule="auto"/>
        <w:rPr>
          <w:b/>
        </w:rPr>
      </w:pPr>
      <w:r w:rsidRPr="006E638E">
        <w:rPr>
          <w:b/>
        </w:rPr>
        <w:t>Cover Letter</w:t>
      </w:r>
    </w:p>
    <w:p w14:paraId="22EB720D" w14:textId="77777777" w:rsidR="004A12CF" w:rsidRDefault="004A12CF" w:rsidP="004A12CF">
      <w:pPr>
        <w:spacing w:after="0" w:line="240" w:lineRule="auto"/>
        <w:ind w:left="720"/>
      </w:pPr>
      <w:r>
        <w:t>A cover letter should accompany each application and include the following:</w:t>
      </w:r>
    </w:p>
    <w:p w14:paraId="3D83282D" w14:textId="77777777" w:rsidR="004A12CF" w:rsidRDefault="004A12CF" w:rsidP="004A12CF">
      <w:pPr>
        <w:numPr>
          <w:ilvl w:val="1"/>
          <w:numId w:val="2"/>
        </w:numPr>
        <w:spacing w:after="0" w:line="240" w:lineRule="auto"/>
      </w:pPr>
      <w:r>
        <w:t>Request for an administrative supplement to support the project</w:t>
      </w:r>
    </w:p>
    <w:p w14:paraId="6BA91CD0" w14:textId="77777777" w:rsidR="004A12CF" w:rsidRDefault="004A12CF" w:rsidP="004A12CF">
      <w:pPr>
        <w:numPr>
          <w:ilvl w:val="1"/>
          <w:numId w:val="2"/>
        </w:numPr>
        <w:spacing w:after="0" w:line="240" w:lineRule="auto"/>
      </w:pPr>
      <w:r>
        <w:t>Title of the supplement</w:t>
      </w:r>
    </w:p>
    <w:p w14:paraId="51C348EE" w14:textId="77777777" w:rsidR="004A12CF" w:rsidRDefault="004A12CF" w:rsidP="004A12CF">
      <w:pPr>
        <w:numPr>
          <w:ilvl w:val="1"/>
          <w:numId w:val="2"/>
        </w:numPr>
        <w:spacing w:after="0" w:line="240" w:lineRule="auto"/>
      </w:pPr>
      <w:r>
        <w:t>P30 grant number</w:t>
      </w:r>
    </w:p>
    <w:p w14:paraId="4BD1A58E" w14:textId="77777777" w:rsidR="004A12CF" w:rsidRDefault="004A12CF" w:rsidP="004A12CF">
      <w:pPr>
        <w:numPr>
          <w:ilvl w:val="1"/>
          <w:numId w:val="2"/>
        </w:numPr>
        <w:spacing w:after="0" w:line="240" w:lineRule="auto"/>
      </w:pPr>
      <w:r>
        <w:t>Approval of the local PRMS committee</w:t>
      </w:r>
    </w:p>
    <w:p w14:paraId="44C92349" w14:textId="77777777" w:rsidR="004A12CF" w:rsidRDefault="004A12CF" w:rsidP="004A12CF">
      <w:pPr>
        <w:numPr>
          <w:ilvl w:val="1"/>
          <w:numId w:val="2"/>
        </w:numPr>
        <w:spacing w:after="0" w:line="240" w:lineRule="auto"/>
      </w:pPr>
      <w:r>
        <w:t xml:space="preserve">NCI </w:t>
      </w:r>
      <w:r w:rsidR="00D26595">
        <w:t>notice of LOI approval</w:t>
      </w:r>
    </w:p>
    <w:p w14:paraId="735B742B" w14:textId="77777777" w:rsidR="004A12CF" w:rsidRDefault="004A12CF" w:rsidP="004A12CF">
      <w:pPr>
        <w:numPr>
          <w:ilvl w:val="1"/>
          <w:numId w:val="2"/>
        </w:numPr>
        <w:spacing w:after="0" w:line="240" w:lineRule="auto"/>
      </w:pPr>
      <w:r>
        <w:t>Contact information for the Cancer Center Director and the Project Leader</w:t>
      </w:r>
    </w:p>
    <w:p w14:paraId="16848EDC" w14:textId="77777777" w:rsidR="004A12CF" w:rsidRDefault="004A12CF" w:rsidP="004A12CF">
      <w:pPr>
        <w:numPr>
          <w:ilvl w:val="1"/>
          <w:numId w:val="2"/>
        </w:numPr>
        <w:spacing w:after="0" w:line="240" w:lineRule="auto"/>
      </w:pPr>
      <w:r>
        <w:t xml:space="preserve">Signatures of the Cancer Center Director and the Authorized Organization Representative (AOR) </w:t>
      </w:r>
    </w:p>
    <w:p w14:paraId="76693D80" w14:textId="77777777" w:rsidR="004A12CF" w:rsidRDefault="004A12CF" w:rsidP="004A12CF">
      <w:pPr>
        <w:spacing w:after="0" w:line="240" w:lineRule="auto"/>
        <w:ind w:left="1440"/>
      </w:pPr>
    </w:p>
    <w:p w14:paraId="3E693E74" w14:textId="77777777" w:rsidR="004A12CF" w:rsidRPr="00E943E8" w:rsidRDefault="004A12CF" w:rsidP="004A12CF">
      <w:pPr>
        <w:numPr>
          <w:ilvl w:val="0"/>
          <w:numId w:val="2"/>
        </w:numPr>
        <w:spacing w:after="0" w:line="240" w:lineRule="auto"/>
        <w:rPr>
          <w:b/>
        </w:rPr>
      </w:pPr>
      <w:r w:rsidRPr="00E943E8">
        <w:rPr>
          <w:b/>
        </w:rPr>
        <w:t>Application</w:t>
      </w:r>
    </w:p>
    <w:p w14:paraId="668DB1CB" w14:textId="77777777" w:rsidR="004A12CF" w:rsidRDefault="004A12CF" w:rsidP="004A12CF">
      <w:pPr>
        <w:numPr>
          <w:ilvl w:val="1"/>
          <w:numId w:val="2"/>
        </w:numPr>
        <w:spacing w:after="0" w:line="240" w:lineRule="auto"/>
      </w:pPr>
      <w:r>
        <w:t>Standard PHS 398 (</w:t>
      </w:r>
      <w:proofErr w:type="spellStart"/>
      <w:r>
        <w:t>pgs</w:t>
      </w:r>
      <w:proofErr w:type="spellEnd"/>
      <w:r>
        <w:t xml:space="preserve"> 1-5)</w:t>
      </w:r>
    </w:p>
    <w:p w14:paraId="64EAA7CA" w14:textId="77777777" w:rsidR="004A12CF" w:rsidRDefault="004A12CF" w:rsidP="004A12CF">
      <w:pPr>
        <w:numPr>
          <w:ilvl w:val="2"/>
          <w:numId w:val="2"/>
        </w:numPr>
        <w:spacing w:after="0" w:line="240" w:lineRule="auto"/>
      </w:pPr>
      <w:r>
        <w:t>Item 2: check yes and provide the title indicated in the cover letter, 1.b.</w:t>
      </w:r>
    </w:p>
    <w:p w14:paraId="1933D191" w14:textId="77777777" w:rsidR="004A12CF" w:rsidRDefault="004A12CF" w:rsidP="004A12CF">
      <w:pPr>
        <w:numPr>
          <w:ilvl w:val="2"/>
          <w:numId w:val="2"/>
        </w:numPr>
        <w:spacing w:after="0" w:line="240" w:lineRule="auto"/>
      </w:pPr>
      <w:r>
        <w:t>Item 7A-</w:t>
      </w:r>
      <w:proofErr w:type="gramStart"/>
      <w:r>
        <w:t>8B,</w:t>
      </w:r>
      <w:proofErr w:type="gramEnd"/>
      <w:r>
        <w:t xml:space="preserve"> denote the direct and total costs for the project. Total costs may not exceed $62,500. </w:t>
      </w:r>
    </w:p>
    <w:p w14:paraId="73FB71B4" w14:textId="77777777" w:rsidR="004A12CF" w:rsidRDefault="004A12CF" w:rsidP="004A12CF">
      <w:pPr>
        <w:numPr>
          <w:ilvl w:val="2"/>
          <w:numId w:val="2"/>
        </w:numPr>
        <w:spacing w:after="0" w:line="240" w:lineRule="auto"/>
      </w:pPr>
      <w:r>
        <w:t xml:space="preserve">The AOR must sign the face page. </w:t>
      </w:r>
    </w:p>
    <w:p w14:paraId="1045F1EA" w14:textId="77777777" w:rsidR="004A12CF" w:rsidRDefault="004A12CF" w:rsidP="004A12CF">
      <w:pPr>
        <w:numPr>
          <w:ilvl w:val="2"/>
          <w:numId w:val="2"/>
        </w:numPr>
        <w:spacing w:after="0" w:line="240" w:lineRule="auto"/>
      </w:pPr>
      <w:r>
        <w:t>Include a detailed budget description.</w:t>
      </w:r>
    </w:p>
    <w:p w14:paraId="665E6AA8" w14:textId="77777777" w:rsidR="004A12CF" w:rsidRDefault="004A12CF" w:rsidP="004A12CF">
      <w:pPr>
        <w:numPr>
          <w:ilvl w:val="2"/>
          <w:numId w:val="2"/>
        </w:numPr>
        <w:spacing w:after="0" w:line="240" w:lineRule="auto"/>
      </w:pPr>
      <w:r>
        <w:t xml:space="preserve">Provide NIH biographical sketches for the P30 principal investigator. </w:t>
      </w:r>
    </w:p>
    <w:p w14:paraId="4F2EA844" w14:textId="77777777" w:rsidR="004A12CF" w:rsidRDefault="004A12CF" w:rsidP="004A12CF">
      <w:pPr>
        <w:spacing w:after="0" w:line="240" w:lineRule="auto"/>
        <w:ind w:left="2160"/>
      </w:pPr>
    </w:p>
    <w:p w14:paraId="4BFA0E7F" w14:textId="77777777" w:rsidR="004A12CF" w:rsidRDefault="004A12CF" w:rsidP="004A12CF">
      <w:pPr>
        <w:numPr>
          <w:ilvl w:val="0"/>
          <w:numId w:val="2"/>
        </w:numPr>
        <w:spacing w:after="0" w:line="240" w:lineRule="auto"/>
        <w:rPr>
          <w:b/>
        </w:rPr>
      </w:pPr>
      <w:r w:rsidRPr="00E943E8">
        <w:rPr>
          <w:b/>
        </w:rPr>
        <w:t>Summary of the Project</w:t>
      </w:r>
    </w:p>
    <w:p w14:paraId="530AF727" w14:textId="77777777" w:rsidR="004A12CF" w:rsidRDefault="004A12CF" w:rsidP="004A12CF">
      <w:pPr>
        <w:spacing w:after="0" w:line="240" w:lineRule="auto"/>
        <w:ind w:firstLine="720"/>
      </w:pPr>
      <w:r w:rsidRPr="00CF7FDF">
        <w:t xml:space="preserve">The </w:t>
      </w:r>
      <w:r>
        <w:t>applicant should attach the approved LOI.</w:t>
      </w:r>
    </w:p>
    <w:p w14:paraId="66B864EA" w14:textId="77777777" w:rsidR="004A12CF" w:rsidRDefault="004A12CF" w:rsidP="004A12CF">
      <w:pPr>
        <w:spacing w:after="0" w:line="240" w:lineRule="auto"/>
        <w:rPr>
          <w:b/>
        </w:rPr>
      </w:pPr>
    </w:p>
    <w:p w14:paraId="4B04455E" w14:textId="77777777" w:rsidR="004A12CF" w:rsidRPr="00E943E8" w:rsidRDefault="004A12CF" w:rsidP="004A12CF">
      <w:pPr>
        <w:numPr>
          <w:ilvl w:val="0"/>
          <w:numId w:val="2"/>
        </w:numPr>
        <w:spacing w:after="0" w:line="240" w:lineRule="auto"/>
        <w:rPr>
          <w:b/>
        </w:rPr>
      </w:pPr>
      <w:r w:rsidRPr="00E943E8">
        <w:rPr>
          <w:b/>
        </w:rPr>
        <w:t xml:space="preserve">Justification of Staff </w:t>
      </w:r>
    </w:p>
    <w:p w14:paraId="7DE5F140" w14:textId="77777777" w:rsidR="004A12CF" w:rsidRDefault="004A12CF" w:rsidP="004A12CF">
      <w:pPr>
        <w:spacing w:after="0" w:line="240" w:lineRule="auto"/>
        <w:ind w:left="720"/>
      </w:pPr>
      <w:r>
        <w:t>Attach CV of Principal Investigator of the LOI. Note that in order to qualify for a supplement, the name of the Principal Investigator must be proposed at the time of submission.</w:t>
      </w:r>
    </w:p>
    <w:p w14:paraId="796516BD" w14:textId="77777777" w:rsidR="004A12CF" w:rsidRDefault="004A12CF" w:rsidP="004A12CF">
      <w:pPr>
        <w:spacing w:after="0" w:line="240" w:lineRule="auto"/>
        <w:rPr>
          <w:b/>
        </w:rPr>
      </w:pPr>
    </w:p>
    <w:p w14:paraId="36263F7B" w14:textId="77777777" w:rsidR="004A12CF" w:rsidRPr="00455D81" w:rsidRDefault="004A12CF" w:rsidP="004A12CF">
      <w:pPr>
        <w:spacing w:after="0" w:line="240" w:lineRule="auto"/>
        <w:rPr>
          <w:b/>
        </w:rPr>
      </w:pPr>
      <w:r w:rsidRPr="00455D81">
        <w:rPr>
          <w:b/>
        </w:rPr>
        <w:t>Application Submission</w:t>
      </w:r>
      <w:r>
        <w:rPr>
          <w:b/>
        </w:rPr>
        <w:br/>
      </w:r>
    </w:p>
    <w:p w14:paraId="745E1E08" w14:textId="77777777" w:rsidR="004A12CF" w:rsidRDefault="004A12CF" w:rsidP="004A12CF">
      <w:pPr>
        <w:spacing w:after="0" w:line="240" w:lineRule="auto"/>
      </w:pPr>
      <w:r>
        <w:t xml:space="preserve">Applications may be submitted as a signed, scanned PDF to </w:t>
      </w:r>
      <w:hyperlink r:id="rId8" w:history="1">
        <w:r w:rsidRPr="003269FF">
          <w:rPr>
            <w:rStyle w:val="Hyperlink"/>
          </w:rPr>
          <w:t>nga.nguyen2@nih.gov</w:t>
        </w:r>
      </w:hyperlink>
      <w:r>
        <w:t>. Awards wi</w:t>
      </w:r>
      <w:r w:rsidR="00EF3EC4">
        <w:t xml:space="preserve">ll be made after LOIs receive final approved, which requires company commitment of drug supply for the study, </w:t>
      </w:r>
      <w:r>
        <w:t xml:space="preserve">and </w:t>
      </w:r>
      <w:r w:rsidR="00EF3EC4">
        <w:t xml:space="preserve">as </w:t>
      </w:r>
      <w:r>
        <w:t>funds are available.</w:t>
      </w:r>
    </w:p>
    <w:p w14:paraId="59B31CA1" w14:textId="77777777" w:rsidR="004A12CF" w:rsidRDefault="004A12CF" w:rsidP="004A12CF">
      <w:pPr>
        <w:spacing w:after="0" w:line="240" w:lineRule="auto"/>
      </w:pPr>
    </w:p>
    <w:p w14:paraId="475E32EA" w14:textId="77777777" w:rsidR="004A12CF" w:rsidRPr="00455D81" w:rsidRDefault="004A12CF" w:rsidP="004A12CF">
      <w:pPr>
        <w:spacing w:after="0" w:line="240" w:lineRule="auto"/>
        <w:rPr>
          <w:b/>
        </w:rPr>
      </w:pPr>
      <w:r w:rsidRPr="00455D81">
        <w:rPr>
          <w:b/>
        </w:rPr>
        <w:t>Review Criteria</w:t>
      </w:r>
      <w:r>
        <w:rPr>
          <w:b/>
        </w:rPr>
        <w:br/>
      </w:r>
    </w:p>
    <w:p w14:paraId="03D42077" w14:textId="77777777" w:rsidR="004A12CF" w:rsidRDefault="004A12CF" w:rsidP="004A12CF">
      <w:pPr>
        <w:spacing w:after="0" w:line="240" w:lineRule="auto"/>
      </w:pPr>
      <w:r>
        <w:t>Since the review criteria are encompassed at the LOI stage, there will not be a secondary review process. Approved LOI</w:t>
      </w:r>
      <w:r w:rsidR="00AD66A6">
        <w:t>’</w:t>
      </w:r>
      <w:r>
        <w:t>s</w:t>
      </w:r>
      <w:r w:rsidRPr="00444C15">
        <w:t xml:space="preserve"> eligible for support utilizing these administrative supplements will be selected by NCI ETCTN program staff</w:t>
      </w:r>
      <w:r w:rsidR="00A13987">
        <w:t xml:space="preserve">. </w:t>
      </w:r>
    </w:p>
    <w:p w14:paraId="7BEE2674" w14:textId="77777777" w:rsidR="00455D81" w:rsidRDefault="00455D81" w:rsidP="00455D81">
      <w:pPr>
        <w:spacing w:after="0" w:line="240" w:lineRule="auto"/>
      </w:pPr>
    </w:p>
    <w:p w14:paraId="7A463D4D" w14:textId="77777777" w:rsidR="004A12CF" w:rsidRPr="00455D81" w:rsidRDefault="004A12CF" w:rsidP="004A12CF">
      <w:pPr>
        <w:spacing w:after="0" w:line="240" w:lineRule="auto"/>
        <w:rPr>
          <w:b/>
        </w:rPr>
      </w:pPr>
      <w:r w:rsidRPr="00455D81">
        <w:rPr>
          <w:b/>
        </w:rPr>
        <w:t>Awards</w:t>
      </w:r>
      <w:r>
        <w:rPr>
          <w:b/>
        </w:rPr>
        <w:br/>
      </w:r>
    </w:p>
    <w:p w14:paraId="73AABB44" w14:textId="77777777" w:rsidR="004A12CF" w:rsidRDefault="004A12CF" w:rsidP="004A12CF">
      <w:pPr>
        <w:spacing w:after="0" w:line="240" w:lineRule="auto"/>
      </w:pPr>
      <w:r>
        <w:t>Awards will be based on responsiveness to the goals of this announcement and the availability of funds. Awards may be withheld if the PI subsequently does not meet CTEP Operational Efficiency Working Group (OEWG) timelines.</w:t>
      </w:r>
    </w:p>
    <w:p w14:paraId="77DF0920" w14:textId="77777777" w:rsidR="00455D81" w:rsidRDefault="00455D81" w:rsidP="00455D81">
      <w:pPr>
        <w:spacing w:after="0" w:line="240" w:lineRule="auto"/>
      </w:pPr>
    </w:p>
    <w:p w14:paraId="426E0058" w14:textId="77777777" w:rsidR="004A12CF" w:rsidRPr="00455D81" w:rsidRDefault="004A12CF" w:rsidP="004A12CF">
      <w:pPr>
        <w:spacing w:after="0" w:line="240" w:lineRule="auto"/>
        <w:rPr>
          <w:b/>
        </w:rPr>
      </w:pPr>
      <w:r w:rsidRPr="00455D81">
        <w:rPr>
          <w:b/>
        </w:rPr>
        <w:t>Reporting Requirements/Deliverables</w:t>
      </w:r>
      <w:r>
        <w:rPr>
          <w:b/>
        </w:rPr>
        <w:br/>
      </w:r>
    </w:p>
    <w:p w14:paraId="11100338" w14:textId="77777777" w:rsidR="004A12CF" w:rsidRDefault="004A12CF" w:rsidP="004A12CF">
      <w:pPr>
        <w:spacing w:after="0" w:line="240" w:lineRule="auto"/>
      </w:pPr>
      <w:r>
        <w:t xml:space="preserve">As part of the annual progress report for the parent NCI Cancer Center Grant, include information on what has been accomplished via the administrative supplement during the funding period. A copy of the annual progress report for the administrative supplement should be sent to </w:t>
      </w:r>
      <w:r w:rsidRPr="00B671A5">
        <w:t xml:space="preserve">Dr. Jeffrey Moscow </w:t>
      </w:r>
      <w:r>
        <w:t>via email at</w:t>
      </w:r>
      <w:r w:rsidRPr="00B671A5">
        <w:t xml:space="preserve"> </w:t>
      </w:r>
      <w:hyperlink r:id="rId9" w:history="1">
        <w:r w:rsidRPr="00B671A5">
          <w:rPr>
            <w:rStyle w:val="Hyperlink"/>
          </w:rPr>
          <w:t>jeffrey.moscow@nih.gov</w:t>
        </w:r>
      </w:hyperlink>
      <w:r w:rsidR="00D26595">
        <w:t>.</w:t>
      </w:r>
    </w:p>
    <w:p w14:paraId="2E582741" w14:textId="77777777" w:rsidR="009400F0" w:rsidRDefault="009400F0" w:rsidP="00455D81">
      <w:pPr>
        <w:spacing w:after="0" w:line="240" w:lineRule="auto"/>
      </w:pPr>
    </w:p>
    <w:p w14:paraId="06E6AD07" w14:textId="77777777" w:rsidR="00A9580A" w:rsidRDefault="00A9580A" w:rsidP="00455D81">
      <w:pPr>
        <w:spacing w:after="0" w:line="240" w:lineRule="auto"/>
        <w:rPr>
          <w:b/>
        </w:rPr>
      </w:pPr>
      <w:r w:rsidRPr="00A9580A">
        <w:rPr>
          <w:b/>
        </w:rPr>
        <w:t>Questions</w:t>
      </w:r>
    </w:p>
    <w:p w14:paraId="5A8892CC" w14:textId="77777777" w:rsidR="00E144FE" w:rsidRPr="00A9580A" w:rsidRDefault="00E144FE" w:rsidP="00455D81">
      <w:pPr>
        <w:spacing w:after="0" w:line="240" w:lineRule="auto"/>
        <w:rPr>
          <w:b/>
        </w:rPr>
      </w:pPr>
    </w:p>
    <w:p w14:paraId="44749139" w14:textId="77777777" w:rsidR="00A9580A" w:rsidRDefault="0090100B" w:rsidP="0090100B">
      <w:pPr>
        <w:spacing w:after="0" w:line="240" w:lineRule="auto"/>
      </w:pPr>
      <w:r>
        <w:t xml:space="preserve">Please contact Dr. Jeffrey </w:t>
      </w:r>
      <w:proofErr w:type="gramStart"/>
      <w:r>
        <w:t>Moscow  (</w:t>
      </w:r>
      <w:proofErr w:type="gramEnd"/>
      <w:r w:rsidRPr="008A3A9B">
        <w:t xml:space="preserve">Telephone: 240-276-6565 Email: </w:t>
      </w:r>
      <w:hyperlink r:id="rId10" w:history="1">
        <w:r w:rsidRPr="008A3A9B">
          <w:rPr>
            <w:rStyle w:val="Hyperlink"/>
          </w:rPr>
          <w:t>jeffrey.moscow@nih.gov</w:t>
        </w:r>
      </w:hyperlink>
      <w:r>
        <w:t>) for questions related to the ETCTN or the NCI Program Director for your P30 CCSG award (telephone 240-276-5600).</w:t>
      </w:r>
    </w:p>
    <w:sectPr w:rsidR="00A9580A" w:rsidSect="00912C54">
      <w:pgSz w:w="12240" w:h="15840"/>
      <w:pgMar w:top="63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58068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70A5A00"/>
    <w:multiLevelType w:val="hybridMultilevel"/>
    <w:tmpl w:val="C9C8A3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21700D"/>
    <w:multiLevelType w:val="hybridMultilevel"/>
    <w:tmpl w:val="BFF82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CF4BE7"/>
    <w:multiLevelType w:val="hybridMultilevel"/>
    <w:tmpl w:val="66EC0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3525CF"/>
    <w:multiLevelType w:val="hybridMultilevel"/>
    <w:tmpl w:val="5972FB10"/>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70761C84"/>
    <w:multiLevelType w:val="hybridMultilevel"/>
    <w:tmpl w:val="37CAC49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7248048F"/>
    <w:multiLevelType w:val="hybridMultilevel"/>
    <w:tmpl w:val="F1A87312"/>
    <w:lvl w:ilvl="0" w:tplc="D8469656">
      <w:start w:val="1"/>
      <w:numFmt w:val="bullet"/>
      <w:lvlText w:val=""/>
      <w:lvlJc w:val="left"/>
      <w:pPr>
        <w:tabs>
          <w:tab w:val="num" w:pos="360"/>
        </w:tabs>
        <w:ind w:left="360" w:hanging="360"/>
      </w:pPr>
      <w:rPr>
        <w:rFonts w:ascii="Wingdings" w:hAnsi="Wingdings" w:hint="default"/>
      </w:rPr>
    </w:lvl>
    <w:lvl w:ilvl="1" w:tplc="D55E0E00">
      <w:numFmt w:val="none"/>
      <w:lvlText w:val=""/>
      <w:lvlJc w:val="left"/>
      <w:pPr>
        <w:tabs>
          <w:tab w:val="num" w:pos="0"/>
        </w:tabs>
      </w:pPr>
    </w:lvl>
    <w:lvl w:ilvl="2" w:tplc="865E5664" w:tentative="1">
      <w:start w:val="1"/>
      <w:numFmt w:val="bullet"/>
      <w:lvlText w:val=""/>
      <w:lvlJc w:val="left"/>
      <w:pPr>
        <w:tabs>
          <w:tab w:val="num" w:pos="1800"/>
        </w:tabs>
        <w:ind w:left="1800" w:hanging="360"/>
      </w:pPr>
      <w:rPr>
        <w:rFonts w:ascii="Wingdings" w:hAnsi="Wingdings" w:hint="default"/>
      </w:rPr>
    </w:lvl>
    <w:lvl w:ilvl="3" w:tplc="AF1A09C8" w:tentative="1">
      <w:start w:val="1"/>
      <w:numFmt w:val="bullet"/>
      <w:lvlText w:val=""/>
      <w:lvlJc w:val="left"/>
      <w:pPr>
        <w:tabs>
          <w:tab w:val="num" w:pos="2520"/>
        </w:tabs>
        <w:ind w:left="2520" w:hanging="360"/>
      </w:pPr>
      <w:rPr>
        <w:rFonts w:ascii="Wingdings" w:hAnsi="Wingdings" w:hint="default"/>
      </w:rPr>
    </w:lvl>
    <w:lvl w:ilvl="4" w:tplc="7D6C35AE" w:tentative="1">
      <w:start w:val="1"/>
      <w:numFmt w:val="bullet"/>
      <w:lvlText w:val=""/>
      <w:lvlJc w:val="left"/>
      <w:pPr>
        <w:tabs>
          <w:tab w:val="num" w:pos="3240"/>
        </w:tabs>
        <w:ind w:left="3240" w:hanging="360"/>
      </w:pPr>
      <w:rPr>
        <w:rFonts w:ascii="Wingdings" w:hAnsi="Wingdings" w:hint="default"/>
      </w:rPr>
    </w:lvl>
    <w:lvl w:ilvl="5" w:tplc="AF46A1D8" w:tentative="1">
      <w:start w:val="1"/>
      <w:numFmt w:val="bullet"/>
      <w:lvlText w:val=""/>
      <w:lvlJc w:val="left"/>
      <w:pPr>
        <w:tabs>
          <w:tab w:val="num" w:pos="3960"/>
        </w:tabs>
        <w:ind w:left="3960" w:hanging="360"/>
      </w:pPr>
      <w:rPr>
        <w:rFonts w:ascii="Wingdings" w:hAnsi="Wingdings" w:hint="default"/>
      </w:rPr>
    </w:lvl>
    <w:lvl w:ilvl="6" w:tplc="54AE30A6" w:tentative="1">
      <w:start w:val="1"/>
      <w:numFmt w:val="bullet"/>
      <w:lvlText w:val=""/>
      <w:lvlJc w:val="left"/>
      <w:pPr>
        <w:tabs>
          <w:tab w:val="num" w:pos="4680"/>
        </w:tabs>
        <w:ind w:left="4680" w:hanging="360"/>
      </w:pPr>
      <w:rPr>
        <w:rFonts w:ascii="Wingdings" w:hAnsi="Wingdings" w:hint="default"/>
      </w:rPr>
    </w:lvl>
    <w:lvl w:ilvl="7" w:tplc="C5F4CCF2" w:tentative="1">
      <w:start w:val="1"/>
      <w:numFmt w:val="bullet"/>
      <w:lvlText w:val=""/>
      <w:lvlJc w:val="left"/>
      <w:pPr>
        <w:tabs>
          <w:tab w:val="num" w:pos="5400"/>
        </w:tabs>
        <w:ind w:left="5400" w:hanging="360"/>
      </w:pPr>
      <w:rPr>
        <w:rFonts w:ascii="Wingdings" w:hAnsi="Wingdings" w:hint="default"/>
      </w:rPr>
    </w:lvl>
    <w:lvl w:ilvl="8" w:tplc="F46681BC" w:tentative="1">
      <w:start w:val="1"/>
      <w:numFmt w:val="bullet"/>
      <w:lvlText w:val=""/>
      <w:lvlJc w:val="left"/>
      <w:pPr>
        <w:tabs>
          <w:tab w:val="num" w:pos="6120"/>
        </w:tabs>
        <w:ind w:left="6120" w:hanging="360"/>
      </w:pPr>
      <w:rPr>
        <w:rFonts w:ascii="Wingdings" w:hAnsi="Wingdings" w:hint="default"/>
      </w:rPr>
    </w:lvl>
  </w:abstractNum>
  <w:abstractNum w:abstractNumId="7">
    <w:nsid w:val="75B0261C"/>
    <w:multiLevelType w:val="hybridMultilevel"/>
    <w:tmpl w:val="7F2E7C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5"/>
  </w:num>
  <w:num w:numId="4">
    <w:abstractNumId w:val="4"/>
  </w:num>
  <w:num w:numId="5">
    <w:abstractNumId w:val="2"/>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0FD"/>
    <w:rsid w:val="00045335"/>
    <w:rsid w:val="00051401"/>
    <w:rsid w:val="00066FFF"/>
    <w:rsid w:val="00085EA1"/>
    <w:rsid w:val="00090835"/>
    <w:rsid w:val="000A766C"/>
    <w:rsid w:val="000C5338"/>
    <w:rsid w:val="000E6348"/>
    <w:rsid w:val="00104A27"/>
    <w:rsid w:val="00125FEF"/>
    <w:rsid w:val="0014295F"/>
    <w:rsid w:val="001473D4"/>
    <w:rsid w:val="00160E4B"/>
    <w:rsid w:val="001748B8"/>
    <w:rsid w:val="00195694"/>
    <w:rsid w:val="001A1FF4"/>
    <w:rsid w:val="001B3527"/>
    <w:rsid w:val="00213BED"/>
    <w:rsid w:val="0022700B"/>
    <w:rsid w:val="002433A4"/>
    <w:rsid w:val="002515A6"/>
    <w:rsid w:val="00253A84"/>
    <w:rsid w:val="0027201D"/>
    <w:rsid w:val="002743F1"/>
    <w:rsid w:val="002860D7"/>
    <w:rsid w:val="002A6E7B"/>
    <w:rsid w:val="002B0C38"/>
    <w:rsid w:val="002B626F"/>
    <w:rsid w:val="002E2229"/>
    <w:rsid w:val="003108E5"/>
    <w:rsid w:val="00313E99"/>
    <w:rsid w:val="00321BD3"/>
    <w:rsid w:val="00327863"/>
    <w:rsid w:val="00341E9D"/>
    <w:rsid w:val="00356716"/>
    <w:rsid w:val="00364ED3"/>
    <w:rsid w:val="00365933"/>
    <w:rsid w:val="00393F5F"/>
    <w:rsid w:val="003A0F92"/>
    <w:rsid w:val="003A6C57"/>
    <w:rsid w:val="003D49B7"/>
    <w:rsid w:val="003D5274"/>
    <w:rsid w:val="003E7790"/>
    <w:rsid w:val="00400346"/>
    <w:rsid w:val="004028C3"/>
    <w:rsid w:val="0040494E"/>
    <w:rsid w:val="004078CC"/>
    <w:rsid w:val="004128EA"/>
    <w:rsid w:val="0041335F"/>
    <w:rsid w:val="0042084E"/>
    <w:rsid w:val="004211BF"/>
    <w:rsid w:val="0045153D"/>
    <w:rsid w:val="00455D81"/>
    <w:rsid w:val="00476797"/>
    <w:rsid w:val="004925F5"/>
    <w:rsid w:val="004A12CF"/>
    <w:rsid w:val="004B44AE"/>
    <w:rsid w:val="004C2672"/>
    <w:rsid w:val="004D0B52"/>
    <w:rsid w:val="004E2772"/>
    <w:rsid w:val="00526FFE"/>
    <w:rsid w:val="0053696A"/>
    <w:rsid w:val="00540D01"/>
    <w:rsid w:val="00541FB5"/>
    <w:rsid w:val="00555D68"/>
    <w:rsid w:val="005650E7"/>
    <w:rsid w:val="00584AC3"/>
    <w:rsid w:val="005B0D91"/>
    <w:rsid w:val="005D6285"/>
    <w:rsid w:val="005F7946"/>
    <w:rsid w:val="0061140C"/>
    <w:rsid w:val="006177BB"/>
    <w:rsid w:val="00630079"/>
    <w:rsid w:val="00640AE6"/>
    <w:rsid w:val="0064603E"/>
    <w:rsid w:val="0065285D"/>
    <w:rsid w:val="00661258"/>
    <w:rsid w:val="006721FD"/>
    <w:rsid w:val="0068486A"/>
    <w:rsid w:val="006A2097"/>
    <w:rsid w:val="006A244B"/>
    <w:rsid w:val="006B0B9B"/>
    <w:rsid w:val="006C0C55"/>
    <w:rsid w:val="006C2411"/>
    <w:rsid w:val="006D2381"/>
    <w:rsid w:val="006E1DDC"/>
    <w:rsid w:val="006E638E"/>
    <w:rsid w:val="006F55E4"/>
    <w:rsid w:val="006F6E85"/>
    <w:rsid w:val="0071636F"/>
    <w:rsid w:val="0072469D"/>
    <w:rsid w:val="00741083"/>
    <w:rsid w:val="007508C7"/>
    <w:rsid w:val="007709CC"/>
    <w:rsid w:val="00782BDC"/>
    <w:rsid w:val="00783150"/>
    <w:rsid w:val="007848F2"/>
    <w:rsid w:val="00796AC9"/>
    <w:rsid w:val="007A0F0F"/>
    <w:rsid w:val="007C0FC7"/>
    <w:rsid w:val="007E4DD4"/>
    <w:rsid w:val="007E70FD"/>
    <w:rsid w:val="007F4973"/>
    <w:rsid w:val="00801BEC"/>
    <w:rsid w:val="0081546A"/>
    <w:rsid w:val="00836954"/>
    <w:rsid w:val="00836FAC"/>
    <w:rsid w:val="00852084"/>
    <w:rsid w:val="00863C5D"/>
    <w:rsid w:val="0087063A"/>
    <w:rsid w:val="00871E96"/>
    <w:rsid w:val="00887027"/>
    <w:rsid w:val="00887CDE"/>
    <w:rsid w:val="00890F31"/>
    <w:rsid w:val="008934CF"/>
    <w:rsid w:val="008962DB"/>
    <w:rsid w:val="008C1F20"/>
    <w:rsid w:val="008C3723"/>
    <w:rsid w:val="008D602A"/>
    <w:rsid w:val="008D67E5"/>
    <w:rsid w:val="008D6F49"/>
    <w:rsid w:val="008D73A8"/>
    <w:rsid w:val="0090100B"/>
    <w:rsid w:val="009012F3"/>
    <w:rsid w:val="009062AE"/>
    <w:rsid w:val="00912C54"/>
    <w:rsid w:val="0091543F"/>
    <w:rsid w:val="00921C86"/>
    <w:rsid w:val="009400F0"/>
    <w:rsid w:val="009508B4"/>
    <w:rsid w:val="00961283"/>
    <w:rsid w:val="009612E0"/>
    <w:rsid w:val="009704B0"/>
    <w:rsid w:val="00980EB3"/>
    <w:rsid w:val="009A44A6"/>
    <w:rsid w:val="009B101F"/>
    <w:rsid w:val="009F2B73"/>
    <w:rsid w:val="009F405A"/>
    <w:rsid w:val="00A00257"/>
    <w:rsid w:val="00A02D24"/>
    <w:rsid w:val="00A13987"/>
    <w:rsid w:val="00A2352A"/>
    <w:rsid w:val="00A31662"/>
    <w:rsid w:val="00A55F39"/>
    <w:rsid w:val="00A9580A"/>
    <w:rsid w:val="00A972D4"/>
    <w:rsid w:val="00AA0BEB"/>
    <w:rsid w:val="00AA6C0B"/>
    <w:rsid w:val="00AC66E3"/>
    <w:rsid w:val="00AD0DC3"/>
    <w:rsid w:val="00AD66A6"/>
    <w:rsid w:val="00AF349D"/>
    <w:rsid w:val="00B04780"/>
    <w:rsid w:val="00B2556D"/>
    <w:rsid w:val="00B405EA"/>
    <w:rsid w:val="00B47A50"/>
    <w:rsid w:val="00B509D1"/>
    <w:rsid w:val="00B55416"/>
    <w:rsid w:val="00B85025"/>
    <w:rsid w:val="00B96FEB"/>
    <w:rsid w:val="00BA2DCF"/>
    <w:rsid w:val="00BB34C3"/>
    <w:rsid w:val="00BD009E"/>
    <w:rsid w:val="00BD257D"/>
    <w:rsid w:val="00BD4EE2"/>
    <w:rsid w:val="00C11649"/>
    <w:rsid w:val="00C174D3"/>
    <w:rsid w:val="00C21940"/>
    <w:rsid w:val="00C35512"/>
    <w:rsid w:val="00C461BF"/>
    <w:rsid w:val="00C53FA8"/>
    <w:rsid w:val="00CD1485"/>
    <w:rsid w:val="00CF7FDF"/>
    <w:rsid w:val="00D15B46"/>
    <w:rsid w:val="00D26595"/>
    <w:rsid w:val="00D430C1"/>
    <w:rsid w:val="00D43EAA"/>
    <w:rsid w:val="00D63082"/>
    <w:rsid w:val="00DA1774"/>
    <w:rsid w:val="00DA5BE1"/>
    <w:rsid w:val="00DB6707"/>
    <w:rsid w:val="00DE537B"/>
    <w:rsid w:val="00E04758"/>
    <w:rsid w:val="00E144FE"/>
    <w:rsid w:val="00E16FCE"/>
    <w:rsid w:val="00E17EA8"/>
    <w:rsid w:val="00E217DA"/>
    <w:rsid w:val="00E21C4E"/>
    <w:rsid w:val="00E33D06"/>
    <w:rsid w:val="00E44CE2"/>
    <w:rsid w:val="00E57335"/>
    <w:rsid w:val="00E61A73"/>
    <w:rsid w:val="00E64DB6"/>
    <w:rsid w:val="00E751F2"/>
    <w:rsid w:val="00E92BD9"/>
    <w:rsid w:val="00E943E8"/>
    <w:rsid w:val="00EA7621"/>
    <w:rsid w:val="00ED57AD"/>
    <w:rsid w:val="00EF26B5"/>
    <w:rsid w:val="00EF3B6E"/>
    <w:rsid w:val="00EF3EC4"/>
    <w:rsid w:val="00F16925"/>
    <w:rsid w:val="00F21564"/>
    <w:rsid w:val="00F357A0"/>
    <w:rsid w:val="00F57258"/>
    <w:rsid w:val="00F71F6C"/>
    <w:rsid w:val="00F91137"/>
    <w:rsid w:val="00FB0327"/>
    <w:rsid w:val="00FB73B3"/>
    <w:rsid w:val="00FC18D9"/>
    <w:rsid w:val="00FE3A4A"/>
    <w:rsid w:val="00FE4A40"/>
    <w:rsid w:val="00FF0F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C51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FE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04A27"/>
    <w:rPr>
      <w:color w:val="0000FF"/>
      <w:u w:val="single"/>
    </w:rPr>
  </w:style>
  <w:style w:type="character" w:styleId="CommentReference">
    <w:name w:val="annotation reference"/>
    <w:uiPriority w:val="99"/>
    <w:semiHidden/>
    <w:unhideWhenUsed/>
    <w:rsid w:val="006A2097"/>
    <w:rPr>
      <w:sz w:val="16"/>
      <w:szCs w:val="16"/>
    </w:rPr>
  </w:style>
  <w:style w:type="paragraph" w:styleId="CommentText">
    <w:name w:val="annotation text"/>
    <w:basedOn w:val="Normal"/>
    <w:link w:val="CommentTextChar"/>
    <w:uiPriority w:val="99"/>
    <w:semiHidden/>
    <w:unhideWhenUsed/>
    <w:rsid w:val="006A2097"/>
    <w:rPr>
      <w:sz w:val="20"/>
      <w:szCs w:val="20"/>
    </w:rPr>
  </w:style>
  <w:style w:type="character" w:customStyle="1" w:styleId="CommentTextChar">
    <w:name w:val="Comment Text Char"/>
    <w:basedOn w:val="DefaultParagraphFont"/>
    <w:link w:val="CommentText"/>
    <w:uiPriority w:val="99"/>
    <w:semiHidden/>
    <w:rsid w:val="006A2097"/>
  </w:style>
  <w:style w:type="paragraph" w:styleId="BalloonText">
    <w:name w:val="Balloon Text"/>
    <w:basedOn w:val="Normal"/>
    <w:link w:val="BalloonTextChar"/>
    <w:uiPriority w:val="99"/>
    <w:semiHidden/>
    <w:unhideWhenUsed/>
    <w:rsid w:val="006A209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A2097"/>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C2411"/>
    <w:rPr>
      <w:b/>
      <w:bCs/>
    </w:rPr>
  </w:style>
  <w:style w:type="character" w:customStyle="1" w:styleId="CommentSubjectChar">
    <w:name w:val="Comment Subject Char"/>
    <w:link w:val="CommentSubject"/>
    <w:uiPriority w:val="99"/>
    <w:semiHidden/>
    <w:rsid w:val="006C241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FE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04A27"/>
    <w:rPr>
      <w:color w:val="0000FF"/>
      <w:u w:val="single"/>
    </w:rPr>
  </w:style>
  <w:style w:type="character" w:styleId="CommentReference">
    <w:name w:val="annotation reference"/>
    <w:uiPriority w:val="99"/>
    <w:semiHidden/>
    <w:unhideWhenUsed/>
    <w:rsid w:val="006A2097"/>
    <w:rPr>
      <w:sz w:val="16"/>
      <w:szCs w:val="16"/>
    </w:rPr>
  </w:style>
  <w:style w:type="paragraph" w:styleId="CommentText">
    <w:name w:val="annotation text"/>
    <w:basedOn w:val="Normal"/>
    <w:link w:val="CommentTextChar"/>
    <w:uiPriority w:val="99"/>
    <w:semiHidden/>
    <w:unhideWhenUsed/>
    <w:rsid w:val="006A2097"/>
    <w:rPr>
      <w:sz w:val="20"/>
      <w:szCs w:val="20"/>
    </w:rPr>
  </w:style>
  <w:style w:type="character" w:customStyle="1" w:styleId="CommentTextChar">
    <w:name w:val="Comment Text Char"/>
    <w:basedOn w:val="DefaultParagraphFont"/>
    <w:link w:val="CommentText"/>
    <w:uiPriority w:val="99"/>
    <w:semiHidden/>
    <w:rsid w:val="006A2097"/>
  </w:style>
  <w:style w:type="paragraph" w:styleId="BalloonText">
    <w:name w:val="Balloon Text"/>
    <w:basedOn w:val="Normal"/>
    <w:link w:val="BalloonTextChar"/>
    <w:uiPriority w:val="99"/>
    <w:semiHidden/>
    <w:unhideWhenUsed/>
    <w:rsid w:val="006A209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A2097"/>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C2411"/>
    <w:rPr>
      <w:b/>
      <w:bCs/>
    </w:rPr>
  </w:style>
  <w:style w:type="character" w:customStyle="1" w:styleId="CommentSubjectChar">
    <w:name w:val="Comment Subject Char"/>
    <w:link w:val="CommentSubject"/>
    <w:uiPriority w:val="99"/>
    <w:semiHidden/>
    <w:rsid w:val="006C24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054435">
      <w:bodyDiv w:val="1"/>
      <w:marLeft w:val="0"/>
      <w:marRight w:val="0"/>
      <w:marTop w:val="0"/>
      <w:marBottom w:val="0"/>
      <w:divBdr>
        <w:top w:val="none" w:sz="0" w:space="0" w:color="auto"/>
        <w:left w:val="none" w:sz="0" w:space="0" w:color="auto"/>
        <w:bottom w:val="none" w:sz="0" w:space="0" w:color="auto"/>
        <w:right w:val="none" w:sz="0" w:space="0" w:color="auto"/>
      </w:divBdr>
    </w:div>
    <w:div w:id="1101800925">
      <w:bodyDiv w:val="1"/>
      <w:marLeft w:val="0"/>
      <w:marRight w:val="0"/>
      <w:marTop w:val="0"/>
      <w:marBottom w:val="0"/>
      <w:divBdr>
        <w:top w:val="none" w:sz="0" w:space="0" w:color="auto"/>
        <w:left w:val="none" w:sz="0" w:space="0" w:color="auto"/>
        <w:bottom w:val="none" w:sz="0" w:space="0" w:color="auto"/>
        <w:right w:val="none" w:sz="0" w:space="0" w:color="auto"/>
      </w:divBdr>
    </w:div>
    <w:div w:id="1377242291">
      <w:bodyDiv w:val="1"/>
      <w:marLeft w:val="0"/>
      <w:marRight w:val="0"/>
      <w:marTop w:val="0"/>
      <w:marBottom w:val="0"/>
      <w:divBdr>
        <w:top w:val="none" w:sz="0" w:space="0" w:color="auto"/>
        <w:left w:val="none" w:sz="0" w:space="0" w:color="auto"/>
        <w:bottom w:val="none" w:sz="0" w:space="0" w:color="auto"/>
        <w:right w:val="none" w:sz="0" w:space="0" w:color="auto"/>
      </w:divBdr>
    </w:div>
    <w:div w:id="1553079993">
      <w:bodyDiv w:val="1"/>
      <w:marLeft w:val="0"/>
      <w:marRight w:val="0"/>
      <w:marTop w:val="0"/>
      <w:marBottom w:val="0"/>
      <w:divBdr>
        <w:top w:val="none" w:sz="0" w:space="0" w:color="auto"/>
        <w:left w:val="none" w:sz="0" w:space="0" w:color="auto"/>
        <w:bottom w:val="none" w:sz="0" w:space="0" w:color="auto"/>
        <w:right w:val="none" w:sz="0" w:space="0" w:color="auto"/>
      </w:divBdr>
    </w:div>
    <w:div w:id="2099134044">
      <w:bodyDiv w:val="1"/>
      <w:marLeft w:val="0"/>
      <w:marRight w:val="0"/>
      <w:marTop w:val="0"/>
      <w:marBottom w:val="0"/>
      <w:divBdr>
        <w:top w:val="none" w:sz="0" w:space="0" w:color="auto"/>
        <w:left w:val="none" w:sz="0" w:space="0" w:color="auto"/>
        <w:bottom w:val="none" w:sz="0" w:space="0" w:color="auto"/>
        <w:right w:val="none" w:sz="0" w:space="0" w:color="auto"/>
      </w:divBdr>
      <w:divsChild>
        <w:div w:id="64572798">
          <w:marLeft w:val="720"/>
          <w:marRight w:val="0"/>
          <w:marTop w:val="0"/>
          <w:marBottom w:val="200"/>
          <w:divBdr>
            <w:top w:val="none" w:sz="0" w:space="0" w:color="auto"/>
            <w:left w:val="none" w:sz="0" w:space="0" w:color="auto"/>
            <w:bottom w:val="none" w:sz="0" w:space="0" w:color="auto"/>
            <w:right w:val="none" w:sz="0" w:space="0" w:color="auto"/>
          </w:divBdr>
        </w:div>
        <w:div w:id="412246083">
          <w:marLeft w:val="720"/>
          <w:marRight w:val="0"/>
          <w:marTop w:val="0"/>
          <w:marBottom w:val="200"/>
          <w:divBdr>
            <w:top w:val="none" w:sz="0" w:space="0" w:color="auto"/>
            <w:left w:val="none" w:sz="0" w:space="0" w:color="auto"/>
            <w:bottom w:val="none" w:sz="0" w:space="0" w:color="auto"/>
            <w:right w:val="none" w:sz="0" w:space="0" w:color="auto"/>
          </w:divBdr>
        </w:div>
        <w:div w:id="1244486861">
          <w:marLeft w:val="360"/>
          <w:marRight w:val="0"/>
          <w:marTop w:val="0"/>
          <w:marBottom w:val="200"/>
          <w:divBdr>
            <w:top w:val="none" w:sz="0" w:space="0" w:color="auto"/>
            <w:left w:val="none" w:sz="0" w:space="0" w:color="auto"/>
            <w:bottom w:val="none" w:sz="0" w:space="0" w:color="auto"/>
            <w:right w:val="none" w:sz="0" w:space="0" w:color="auto"/>
          </w:divBdr>
        </w:div>
        <w:div w:id="1403672639">
          <w:marLeft w:val="360"/>
          <w:marRight w:val="0"/>
          <w:marTop w:val="0"/>
          <w:marBottom w:val="200"/>
          <w:divBdr>
            <w:top w:val="none" w:sz="0" w:space="0" w:color="auto"/>
            <w:left w:val="none" w:sz="0" w:space="0" w:color="auto"/>
            <w:bottom w:val="none" w:sz="0" w:space="0" w:color="auto"/>
            <w:right w:val="none" w:sz="0" w:space="0" w:color="auto"/>
          </w:divBdr>
        </w:div>
        <w:div w:id="1511333113">
          <w:marLeft w:val="720"/>
          <w:marRight w:val="0"/>
          <w:marTop w:val="0"/>
          <w:marBottom w:val="200"/>
          <w:divBdr>
            <w:top w:val="none" w:sz="0" w:space="0" w:color="auto"/>
            <w:left w:val="none" w:sz="0" w:space="0" w:color="auto"/>
            <w:bottom w:val="none" w:sz="0" w:space="0" w:color="auto"/>
            <w:right w:val="none" w:sz="0" w:space="0" w:color="auto"/>
          </w:divBdr>
        </w:div>
        <w:div w:id="1521629144">
          <w:marLeft w:val="360"/>
          <w:marRight w:val="0"/>
          <w:marTop w:val="0"/>
          <w:marBottom w:val="200"/>
          <w:divBdr>
            <w:top w:val="none" w:sz="0" w:space="0" w:color="auto"/>
            <w:left w:val="none" w:sz="0" w:space="0" w:color="auto"/>
            <w:bottom w:val="none" w:sz="0" w:space="0" w:color="auto"/>
            <w:right w:val="none" w:sz="0" w:space="0" w:color="auto"/>
          </w:divBdr>
        </w:div>
        <w:div w:id="1763799882">
          <w:marLeft w:val="360"/>
          <w:marRight w:val="0"/>
          <w:marTop w:val="0"/>
          <w:marBottom w:val="200"/>
          <w:divBdr>
            <w:top w:val="none" w:sz="0" w:space="0" w:color="auto"/>
            <w:left w:val="none" w:sz="0" w:space="0" w:color="auto"/>
            <w:bottom w:val="none" w:sz="0" w:space="0" w:color="auto"/>
            <w:right w:val="none" w:sz="0" w:space="0" w:color="auto"/>
          </w:divBdr>
        </w:div>
        <w:div w:id="2048019266">
          <w:marLeft w:val="360"/>
          <w:marRight w:val="0"/>
          <w:marTop w:val="0"/>
          <w:marBottom w:val="200"/>
          <w:divBdr>
            <w:top w:val="none" w:sz="0" w:space="0" w:color="auto"/>
            <w:left w:val="none" w:sz="0" w:space="0" w:color="auto"/>
            <w:bottom w:val="none" w:sz="0" w:space="0" w:color="auto"/>
            <w:right w:val="none" w:sz="0" w:space="0" w:color="auto"/>
          </w:divBdr>
        </w:div>
        <w:div w:id="2083328435">
          <w:marLeft w:val="360"/>
          <w:marRight w:val="0"/>
          <w:marTop w:val="0"/>
          <w:marBottom w:val="200"/>
          <w:divBdr>
            <w:top w:val="none" w:sz="0" w:space="0" w:color="auto"/>
            <w:left w:val="none" w:sz="0" w:space="0" w:color="auto"/>
            <w:bottom w:val="none" w:sz="0" w:space="0" w:color="auto"/>
            <w:right w:val="none" w:sz="0" w:space="0" w:color="auto"/>
          </w:divBdr>
        </w:div>
        <w:div w:id="2109693143">
          <w:marLeft w:val="720"/>
          <w:marRight w:val="0"/>
          <w:marTop w:val="0"/>
          <w:marBottom w:val="2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ga.nguyen2@nih.gov" TargetMode="External"/><Relationship Id="rId3" Type="http://schemas.openxmlformats.org/officeDocument/2006/relationships/styles" Target="styles.xml"/><Relationship Id="rId7" Type="http://schemas.openxmlformats.org/officeDocument/2006/relationships/hyperlink" Target="http://ctep.cancer.gov/protocolDevelopment/docs/loi_form.docx"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jeffrey.moscow@nih.gov" TargetMode="External"/><Relationship Id="rId4" Type="http://schemas.microsoft.com/office/2007/relationships/stylesWithEffects" Target="stylesWithEffects.xml"/><Relationship Id="rId9" Type="http://schemas.openxmlformats.org/officeDocument/2006/relationships/hyperlink" Target="mailto:jeffrey.moscow@nih.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C409AC-36D2-491E-ACA3-D5EAAA6DC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1713</Words>
  <Characters>9765</Characters>
  <Application>Microsoft Office Word</Application>
  <DocSecurity>4</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11456</CharactersWithSpaces>
  <SharedDoc>false</SharedDoc>
  <HLinks>
    <vt:vector size="24" baseType="variant">
      <vt:variant>
        <vt:i4>8126574</vt:i4>
      </vt:variant>
      <vt:variant>
        <vt:i4>9</vt:i4>
      </vt:variant>
      <vt:variant>
        <vt:i4>0</vt:i4>
      </vt:variant>
      <vt:variant>
        <vt:i4>5</vt:i4>
      </vt:variant>
      <vt:variant>
        <vt:lpwstr>mailto:jeffrey.moscow@nih.gov</vt:lpwstr>
      </vt:variant>
      <vt:variant>
        <vt:lpwstr/>
      </vt:variant>
      <vt:variant>
        <vt:i4>8126574</vt:i4>
      </vt:variant>
      <vt:variant>
        <vt:i4>6</vt:i4>
      </vt:variant>
      <vt:variant>
        <vt:i4>0</vt:i4>
      </vt:variant>
      <vt:variant>
        <vt:i4>5</vt:i4>
      </vt:variant>
      <vt:variant>
        <vt:lpwstr>mailto:jeffrey.moscow@nih.gov</vt:lpwstr>
      </vt:variant>
      <vt:variant>
        <vt:lpwstr/>
      </vt:variant>
      <vt:variant>
        <vt:i4>3538971</vt:i4>
      </vt:variant>
      <vt:variant>
        <vt:i4>3</vt:i4>
      </vt:variant>
      <vt:variant>
        <vt:i4>0</vt:i4>
      </vt:variant>
      <vt:variant>
        <vt:i4>5</vt:i4>
      </vt:variant>
      <vt:variant>
        <vt:lpwstr>mailto:nga.nguyen2@nih.gov</vt:lpwstr>
      </vt:variant>
      <vt:variant>
        <vt:lpwstr/>
      </vt:variant>
      <vt:variant>
        <vt:i4>8323189</vt:i4>
      </vt:variant>
      <vt:variant>
        <vt:i4>0</vt:i4>
      </vt:variant>
      <vt:variant>
        <vt:i4>0</vt:i4>
      </vt:variant>
      <vt:variant>
        <vt:i4>5</vt:i4>
      </vt:variant>
      <vt:variant>
        <vt:lpwstr>http://ctep.cancer.gov/protocolDevelopment/docs/loi_form.docx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National Cancer Institute</cp:lastModifiedBy>
  <cp:revision>2</cp:revision>
  <cp:lastPrinted>2016-01-19T14:35:00Z</cp:lastPrinted>
  <dcterms:created xsi:type="dcterms:W3CDTF">2016-04-14T13:55:00Z</dcterms:created>
  <dcterms:modified xsi:type="dcterms:W3CDTF">2016-04-14T13:55:00Z</dcterms:modified>
</cp:coreProperties>
</file>