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96D51" w14:textId="6EB7366A" w:rsidR="00B05A17" w:rsidRPr="00D7087E" w:rsidRDefault="00B05A17" w:rsidP="00B05A17">
      <w:pPr>
        <w:widowControl w:val="0"/>
        <w:autoSpaceDE w:val="0"/>
        <w:autoSpaceDN w:val="0"/>
        <w:adjustRightInd w:val="0"/>
        <w:spacing w:after="225"/>
        <w:jc w:val="center"/>
        <w:rPr>
          <w:rFonts w:ascii="Tahoma" w:hAnsi="Tahoma" w:cs="Tahoma"/>
          <w:b/>
          <w:i/>
          <w:sz w:val="36"/>
          <w:szCs w:val="48"/>
        </w:rPr>
      </w:pPr>
      <w:r w:rsidRPr="00D7087E">
        <w:rPr>
          <w:rFonts w:ascii="Tahoma" w:hAnsi="Tahoma" w:cs="Tahoma"/>
          <w:noProof/>
          <w:sz w:val="20"/>
        </w:rPr>
        <w:drawing>
          <wp:anchor distT="0" distB="0" distL="114300" distR="114300" simplePos="0" relativeHeight="251659264" behindDoc="0" locked="0" layoutInCell="1" allowOverlap="1" wp14:anchorId="0B2F5A13" wp14:editId="329F492B">
            <wp:simplePos x="0" y="0"/>
            <wp:positionH relativeFrom="column">
              <wp:posOffset>-141605</wp:posOffset>
            </wp:positionH>
            <wp:positionV relativeFrom="paragraph">
              <wp:posOffset>-109220</wp:posOffset>
            </wp:positionV>
            <wp:extent cx="916305" cy="876935"/>
            <wp:effectExtent l="0" t="0" r="0" b="12065"/>
            <wp:wrapTight wrapText="bothSides">
              <wp:wrapPolygon edited="0">
                <wp:start x="0" y="0"/>
                <wp:lineTo x="0" y="21272"/>
                <wp:lineTo x="20956" y="21272"/>
                <wp:lineTo x="20956" y="0"/>
                <wp:lineTo x="0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174">
        <w:rPr>
          <w:rFonts w:ascii="Tahoma" w:hAnsi="Tahoma" w:cs="Tahoma"/>
          <w:b/>
          <w:bCs/>
          <w:color w:val="800000"/>
          <w:sz w:val="36"/>
          <w:szCs w:val="56"/>
        </w:rPr>
        <w:t xml:space="preserve">Annual </w:t>
      </w:r>
      <w:r w:rsidRPr="00D7087E">
        <w:rPr>
          <w:rFonts w:ascii="Tahoma" w:hAnsi="Tahoma" w:cs="Tahoma"/>
          <w:b/>
          <w:bCs/>
          <w:color w:val="800000"/>
          <w:sz w:val="36"/>
          <w:szCs w:val="56"/>
        </w:rPr>
        <w:t xml:space="preserve">NCI SS/SC </w:t>
      </w:r>
      <w:r w:rsidRPr="00D7087E">
        <w:rPr>
          <w:rFonts w:ascii="Tahoma" w:hAnsi="Tahoma" w:cs="Tahoma"/>
          <w:b/>
          <w:bCs/>
          <w:i/>
          <w:color w:val="800000"/>
          <w:sz w:val="36"/>
          <w:szCs w:val="56"/>
        </w:rPr>
        <w:t>Professional Development Day</w:t>
      </w:r>
    </w:p>
    <w:p w14:paraId="0BF37F31" w14:textId="77777777" w:rsidR="00B05A17" w:rsidRPr="00D7087E" w:rsidRDefault="00B05A17" w:rsidP="00B05A17">
      <w:pPr>
        <w:ind w:left="720"/>
        <w:rPr>
          <w:rFonts w:ascii="Times" w:hAnsi="Times" w:cs="Tahoma"/>
          <w:b/>
          <w:sz w:val="20"/>
          <w:szCs w:val="22"/>
        </w:rPr>
      </w:pPr>
      <w:r>
        <w:rPr>
          <w:rFonts w:ascii="Tahoma" w:hAnsi="Tahoma" w:cs="Tahoma"/>
          <w:b/>
          <w:color w:val="800000"/>
          <w:sz w:val="28"/>
          <w:szCs w:val="36"/>
        </w:rPr>
        <w:t xml:space="preserve"> </w:t>
      </w:r>
      <w:r w:rsidRPr="00D7087E">
        <w:rPr>
          <w:rFonts w:ascii="Tahoma" w:hAnsi="Tahoma" w:cs="Tahoma"/>
          <w:b/>
          <w:color w:val="800000"/>
          <w:sz w:val="22"/>
          <w:szCs w:val="36"/>
        </w:rPr>
        <w:t>When:</w:t>
      </w:r>
      <w:r w:rsidRPr="00D7087E">
        <w:rPr>
          <w:rFonts w:ascii="Tahoma" w:hAnsi="Tahoma" w:cs="Tahoma"/>
          <w:sz w:val="16"/>
        </w:rPr>
        <w:t xml:space="preserve"> </w:t>
      </w:r>
      <w:r w:rsidRPr="00D7087E">
        <w:rPr>
          <w:rFonts w:ascii="Times" w:hAnsi="Times" w:cs="Tahoma"/>
          <w:b/>
          <w:sz w:val="22"/>
          <w:szCs w:val="28"/>
        </w:rPr>
        <w:t>October 13, 2017</w:t>
      </w:r>
    </w:p>
    <w:p w14:paraId="17632836" w14:textId="77777777" w:rsidR="00B05A17" w:rsidRPr="00D7087E" w:rsidRDefault="00B05A17" w:rsidP="00B05A17">
      <w:pPr>
        <w:ind w:left="720"/>
        <w:rPr>
          <w:rFonts w:ascii="Arial" w:hAnsi="Arial" w:cs="Arial"/>
          <w:b/>
          <w:bCs/>
          <w:sz w:val="21"/>
          <w:szCs w:val="30"/>
        </w:rPr>
      </w:pPr>
      <w:r w:rsidRPr="00D7087E">
        <w:rPr>
          <w:rFonts w:ascii="Tahoma" w:hAnsi="Tahoma" w:cs="Tahoma"/>
          <w:b/>
          <w:bCs/>
          <w:color w:val="800000"/>
          <w:sz w:val="22"/>
          <w:szCs w:val="36"/>
        </w:rPr>
        <w:t xml:space="preserve"> Where: </w:t>
      </w:r>
      <w:r w:rsidRPr="00D7087E">
        <w:rPr>
          <w:rFonts w:ascii="Arial" w:hAnsi="Arial" w:cs="Arial"/>
          <w:b/>
          <w:bCs/>
          <w:sz w:val="21"/>
          <w:szCs w:val="30"/>
        </w:rPr>
        <w:t>Porter Neuroscience Center (Building 35 Room 610)</w:t>
      </w:r>
    </w:p>
    <w:tbl>
      <w:tblPr>
        <w:tblpPr w:leftFromText="180" w:rightFromText="180" w:vertAnchor="text" w:horzAnchor="page" w:tblpX="610" w:tblpY="305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9412"/>
      </w:tblGrid>
      <w:tr w:rsidR="00C20174" w:rsidRPr="007A0A92" w14:paraId="4C136C55" w14:textId="77777777" w:rsidTr="00042E81">
        <w:trPr>
          <w:trHeight w:val="394"/>
        </w:trPr>
        <w:tc>
          <w:tcPr>
            <w:tcW w:w="1928" w:type="dxa"/>
            <w:shd w:val="pct12" w:color="auto" w:fill="auto"/>
          </w:tcPr>
          <w:p w14:paraId="7452E6EC" w14:textId="77777777" w:rsidR="00C20174" w:rsidRPr="007A0A92" w:rsidRDefault="00C20174" w:rsidP="00042E81">
            <w:pPr>
              <w:jc w:val="center"/>
              <w:rPr>
                <w:rFonts w:ascii="Times New Roman" w:hAnsi="Times New Roman"/>
                <w:b/>
              </w:rPr>
            </w:pPr>
            <w:r w:rsidRPr="007A0A92">
              <w:rPr>
                <w:rFonts w:ascii="Times New Roman" w:hAnsi="Times New Roman"/>
                <w:b/>
              </w:rPr>
              <w:t>Time</w:t>
            </w:r>
          </w:p>
        </w:tc>
        <w:tc>
          <w:tcPr>
            <w:tcW w:w="9412" w:type="dxa"/>
            <w:shd w:val="pct12" w:color="auto" w:fill="auto"/>
          </w:tcPr>
          <w:p w14:paraId="2B71E964" w14:textId="77777777" w:rsidR="00C20174" w:rsidRPr="007A0A92" w:rsidRDefault="00C20174" w:rsidP="00042E81">
            <w:pPr>
              <w:rPr>
                <w:rFonts w:ascii="Times New Roman" w:hAnsi="Times New Roman"/>
                <w:b/>
              </w:rPr>
            </w:pPr>
            <w:r w:rsidRPr="007A0A92">
              <w:rPr>
                <w:rFonts w:ascii="Times New Roman" w:hAnsi="Times New Roman"/>
                <w:b/>
              </w:rPr>
              <w:t xml:space="preserve">                                                        Topic</w:t>
            </w:r>
          </w:p>
        </w:tc>
      </w:tr>
      <w:tr w:rsidR="00C20174" w:rsidRPr="007A0A92" w14:paraId="0633334C" w14:textId="77777777" w:rsidTr="00042E81">
        <w:trPr>
          <w:trHeight w:val="376"/>
        </w:trPr>
        <w:tc>
          <w:tcPr>
            <w:tcW w:w="1928" w:type="dxa"/>
            <w:vAlign w:val="center"/>
          </w:tcPr>
          <w:p w14:paraId="202FCBE7" w14:textId="77777777" w:rsidR="00C20174" w:rsidRPr="007A0A92" w:rsidRDefault="00C20174" w:rsidP="00042E81">
            <w:pPr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 xml:space="preserve">8:30 </w:t>
            </w:r>
          </w:p>
        </w:tc>
        <w:tc>
          <w:tcPr>
            <w:tcW w:w="9412" w:type="dxa"/>
            <w:vAlign w:val="center"/>
          </w:tcPr>
          <w:p w14:paraId="64AE1A48" w14:textId="77777777" w:rsidR="00C20174" w:rsidRPr="007A0A92" w:rsidRDefault="00C20174" w:rsidP="00042E81">
            <w:pPr>
              <w:spacing w:after="60"/>
              <w:rPr>
                <w:rFonts w:ascii="Times New Roman" w:hAnsi="Times New Roman"/>
                <w:b/>
                <w:sz w:val="22"/>
                <w:szCs w:val="22"/>
              </w:rPr>
            </w:pPr>
            <w:r w:rsidRPr="007A0A92">
              <w:rPr>
                <w:rFonts w:ascii="Times New Roman" w:hAnsi="Times New Roman"/>
                <w:b/>
                <w:szCs w:val="22"/>
              </w:rPr>
              <w:t>Registration</w:t>
            </w:r>
          </w:p>
        </w:tc>
      </w:tr>
      <w:tr w:rsidR="00C20174" w:rsidRPr="007A0A92" w14:paraId="7D1760DC" w14:textId="77777777" w:rsidTr="00042E81">
        <w:trPr>
          <w:trHeight w:val="502"/>
        </w:trPr>
        <w:tc>
          <w:tcPr>
            <w:tcW w:w="1928" w:type="dxa"/>
            <w:vAlign w:val="center"/>
          </w:tcPr>
          <w:p w14:paraId="754396BD" w14:textId="77777777" w:rsidR="00C20174" w:rsidRPr="007A0A92" w:rsidRDefault="00C20174" w:rsidP="00042E81">
            <w:pPr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8:45</w:t>
            </w:r>
          </w:p>
        </w:tc>
        <w:tc>
          <w:tcPr>
            <w:tcW w:w="9412" w:type="dxa"/>
            <w:vAlign w:val="center"/>
          </w:tcPr>
          <w:p w14:paraId="3CFAD057" w14:textId="77777777" w:rsidR="00C20174" w:rsidRPr="007A0A92" w:rsidRDefault="00C20174" w:rsidP="00042E81">
            <w:pPr>
              <w:pStyle w:val="p1"/>
              <w:rPr>
                <w:sz w:val="22"/>
              </w:rPr>
            </w:pPr>
            <w:r w:rsidRPr="007A0A92">
              <w:rPr>
                <w:rStyle w:val="s1"/>
                <w:b/>
                <w:bCs/>
                <w:i/>
                <w:color w:val="000000" w:themeColor="text1"/>
                <w:sz w:val="22"/>
              </w:rPr>
              <w:t>Opening Remarks:</w:t>
            </w:r>
            <w:r w:rsidRPr="007A0A92">
              <w:rPr>
                <w:rStyle w:val="s1"/>
                <w:b/>
                <w:bCs/>
                <w:color w:val="000000" w:themeColor="text1"/>
                <w:sz w:val="22"/>
              </w:rPr>
              <w:t xml:space="preserve">  </w:t>
            </w:r>
            <w:r w:rsidRPr="007A0A92">
              <w:rPr>
                <w:rStyle w:val="s1"/>
                <w:b/>
                <w:bCs/>
                <w:color w:val="000000" w:themeColor="text1"/>
                <w:sz w:val="24"/>
              </w:rPr>
              <w:t xml:space="preserve">Tom </w:t>
            </w:r>
            <w:proofErr w:type="spellStart"/>
            <w:r w:rsidRPr="007A0A92">
              <w:rPr>
                <w:rStyle w:val="s1"/>
                <w:b/>
                <w:bCs/>
                <w:color w:val="000000" w:themeColor="text1"/>
                <w:sz w:val="24"/>
              </w:rPr>
              <w:t>Misteli</w:t>
            </w:r>
            <w:proofErr w:type="spellEnd"/>
            <w:r w:rsidRPr="007A0A92">
              <w:rPr>
                <w:rStyle w:val="s1"/>
                <w:b/>
                <w:bCs/>
                <w:color w:val="000000" w:themeColor="text1"/>
                <w:sz w:val="24"/>
              </w:rPr>
              <w:t>, Ph.D.,</w:t>
            </w:r>
            <w:r w:rsidRPr="007A0A92">
              <w:rPr>
                <w:sz w:val="20"/>
              </w:rPr>
              <w:t xml:space="preserve"> </w:t>
            </w:r>
            <w:r w:rsidRPr="007A0A92">
              <w:rPr>
                <w:b/>
                <w:color w:val="000000" w:themeColor="text1"/>
                <w:sz w:val="24"/>
              </w:rPr>
              <w:t>CCR Director</w:t>
            </w:r>
          </w:p>
        </w:tc>
      </w:tr>
      <w:tr w:rsidR="00C20174" w:rsidRPr="007A0A92" w14:paraId="75B4A748" w14:textId="77777777" w:rsidTr="00042E81">
        <w:trPr>
          <w:trHeight w:val="745"/>
        </w:trPr>
        <w:tc>
          <w:tcPr>
            <w:tcW w:w="1928" w:type="dxa"/>
            <w:vAlign w:val="center"/>
          </w:tcPr>
          <w:p w14:paraId="04EBCE2A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9:00 – 10:15</w:t>
            </w:r>
          </w:p>
        </w:tc>
        <w:tc>
          <w:tcPr>
            <w:tcW w:w="9412" w:type="dxa"/>
            <w:vAlign w:val="center"/>
          </w:tcPr>
          <w:p w14:paraId="6550C6A5" w14:textId="77777777" w:rsidR="00C20174" w:rsidRPr="007A0A92" w:rsidRDefault="00C20174" w:rsidP="00042E81">
            <w:pPr>
              <w:spacing w:before="60" w:after="120"/>
              <w:jc w:val="center"/>
              <w:rPr>
                <w:rFonts w:ascii="Times New Roman" w:hAnsi="Times New Roman"/>
                <w:b/>
                <w:szCs w:val="26"/>
              </w:rPr>
            </w:pPr>
            <w:r w:rsidRPr="007A0A92">
              <w:rPr>
                <w:rFonts w:ascii="Times New Roman" w:hAnsi="Times New Roman"/>
                <w:b/>
                <w:szCs w:val="26"/>
              </w:rPr>
              <w:t>Quadrennial Review - How you can be outstanding in your next Quad Review</w:t>
            </w:r>
          </w:p>
          <w:p w14:paraId="66E19A48" w14:textId="77777777" w:rsidR="00C20174" w:rsidRPr="00C56D2B" w:rsidRDefault="00C20174" w:rsidP="00042E81">
            <w:pPr>
              <w:rPr>
                <w:rFonts w:ascii="Times New Roman" w:hAnsi="Times New Roman"/>
                <w:b/>
                <w:i/>
                <w:color w:val="000000" w:themeColor="text1"/>
                <w:sz w:val="21"/>
                <w:szCs w:val="17"/>
              </w:rPr>
            </w:pPr>
            <w:r w:rsidRPr="00C56D2B">
              <w:rPr>
                <w:rFonts w:ascii="Times New Roman" w:hAnsi="Times New Roman"/>
                <w:b/>
                <w:i/>
                <w:color w:val="000000" w:themeColor="text1"/>
                <w:sz w:val="21"/>
                <w:szCs w:val="17"/>
              </w:rPr>
              <w:t>Understanding the Quadrennial Review Process</w:t>
            </w:r>
          </w:p>
          <w:p w14:paraId="77E89D09" w14:textId="77777777" w:rsidR="00C20174" w:rsidRPr="007A0A92" w:rsidRDefault="00C20174" w:rsidP="00042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 xml:space="preserve">Rena Rodriguez, </w:t>
            </w:r>
            <w:r w:rsidRPr="007A0A92">
              <w:rPr>
                <w:rFonts w:ascii="Times New Roman" w:hAnsi="Times New Roman"/>
                <w:color w:val="000000" w:themeColor="text1"/>
                <w:sz w:val="21"/>
                <w:szCs w:val="22"/>
              </w:rPr>
              <w:t>Deputy Director, Office of Management, NCI</w:t>
            </w:r>
          </w:p>
          <w:p w14:paraId="31DD5D27" w14:textId="77777777" w:rsidR="00C20174" w:rsidRPr="007A0A92" w:rsidRDefault="00C20174" w:rsidP="00042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7A0A92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and</w:t>
            </w:r>
          </w:p>
          <w:p w14:paraId="144B76D0" w14:textId="77777777" w:rsidR="00C20174" w:rsidRPr="00C56D2B" w:rsidRDefault="00C20174" w:rsidP="00042E81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color w:val="000000" w:themeColor="text1"/>
                <w:sz w:val="21"/>
                <w:szCs w:val="30"/>
              </w:rPr>
            </w:pPr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 xml:space="preserve">Cynthia </w:t>
            </w:r>
            <w:proofErr w:type="spellStart"/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>Masison</w:t>
            </w:r>
            <w:proofErr w:type="spellEnd"/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 xml:space="preserve">, Ph.D. </w:t>
            </w:r>
            <w:r w:rsidRPr="007A0A92">
              <w:rPr>
                <w:rFonts w:ascii="Times New Roman" w:hAnsi="Times New Roman"/>
                <w:color w:val="000000" w:themeColor="text1"/>
                <w:sz w:val="21"/>
                <w:szCs w:val="30"/>
              </w:rPr>
              <w:t>Program Specialist, Office of Scientific Programs, Office of the Director, NCI</w:t>
            </w:r>
          </w:p>
          <w:p w14:paraId="4D8AC5C1" w14:textId="77777777" w:rsidR="001F65ED" w:rsidRPr="005E01F6" w:rsidRDefault="001F65ED" w:rsidP="001F65ED">
            <w:pPr>
              <w:rPr>
                <w:rFonts w:ascii="Calibri" w:eastAsiaTheme="minorHAnsi" w:hAnsi="Calibri"/>
                <w:b/>
                <w:i/>
                <w:sz w:val="21"/>
                <w:szCs w:val="17"/>
              </w:rPr>
            </w:pPr>
            <w:r w:rsidRPr="005E01F6">
              <w:rPr>
                <w:rFonts w:ascii="Calibri" w:eastAsiaTheme="minorHAnsi" w:hAnsi="Calibri"/>
                <w:b/>
                <w:i/>
                <w:sz w:val="21"/>
                <w:szCs w:val="17"/>
              </w:rPr>
              <w:t>Quadrennial review from a reviewer's perspective</w:t>
            </w:r>
          </w:p>
          <w:p w14:paraId="5FD16CFB" w14:textId="77777777" w:rsidR="001F65ED" w:rsidRPr="005E01F6" w:rsidRDefault="001F65ED" w:rsidP="001F65ED">
            <w:pPr>
              <w:rPr>
                <w:rFonts w:ascii="Times New Roman" w:hAnsi="Times New Roman"/>
                <w:sz w:val="21"/>
              </w:rPr>
            </w:pPr>
            <w:r w:rsidRPr="007A0A92">
              <w:rPr>
                <w:rFonts w:ascii="Times New Roman" w:hAnsi="Times New Roman"/>
                <w:i/>
                <w:color w:val="000000" w:themeColor="text1"/>
                <w:sz w:val="22"/>
                <w:szCs w:val="17"/>
              </w:rPr>
              <w:t xml:space="preserve">David Roberts Ph.D., </w:t>
            </w:r>
            <w:r w:rsidRPr="005E01F6">
              <w:rPr>
                <w:rFonts w:ascii="Times New Roman" w:hAnsi="Times New Roman"/>
                <w:sz w:val="21"/>
              </w:rPr>
              <w:t>Senior Investigator</w:t>
            </w:r>
            <w:r w:rsidRPr="005E01F6">
              <w:rPr>
                <w:rFonts w:ascii="Times New Roman" w:hAnsi="Times New Roman"/>
                <w:color w:val="000000" w:themeColor="text1"/>
                <w:sz w:val="21"/>
              </w:rPr>
              <w:t xml:space="preserve"> </w:t>
            </w:r>
            <w:hyperlink r:id="rId5" w:history="1">
              <w:r w:rsidRPr="005E01F6">
                <w:rPr>
                  <w:rFonts w:ascii="Times New Roman" w:hAnsi="Times New Roman"/>
                  <w:color w:val="000000" w:themeColor="text1"/>
                  <w:sz w:val="21"/>
                </w:rPr>
                <w:t>Laboratory of Pathology</w:t>
              </w:r>
            </w:hyperlink>
            <w:r w:rsidRPr="005E01F6">
              <w:rPr>
                <w:rFonts w:ascii="Times New Roman" w:hAnsi="Times New Roman"/>
                <w:sz w:val="21"/>
              </w:rPr>
              <w:t>, Head, Biochemical Pathology Section</w:t>
            </w:r>
          </w:p>
          <w:p w14:paraId="2FFF7191" w14:textId="77777777" w:rsidR="00C20174" w:rsidRPr="007A0A92" w:rsidRDefault="00C20174" w:rsidP="00042E81">
            <w:pPr>
              <w:spacing w:before="60" w:after="120"/>
              <w:rPr>
                <w:rFonts w:ascii="Times New Roman" w:hAnsi="Times New Roman"/>
                <w:i/>
                <w:color w:val="354257"/>
                <w:sz w:val="22"/>
                <w:szCs w:val="30"/>
              </w:rPr>
            </w:pPr>
            <w:bookmarkStart w:id="0" w:name="_GoBack"/>
            <w:bookmarkEnd w:id="0"/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 xml:space="preserve">Tom </w:t>
            </w:r>
            <w:proofErr w:type="spellStart"/>
            <w:proofErr w:type="gramStart"/>
            <w:r w:rsidRPr="007A0A92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>Misteli,Ph.D</w:t>
            </w:r>
            <w:proofErr w:type="spellEnd"/>
            <w:r w:rsidRPr="007A0A92">
              <w:rPr>
                <w:rFonts w:ascii="Times New Roman" w:hAnsi="Times New Roman"/>
                <w:bCs/>
                <w:color w:val="000000" w:themeColor="text1"/>
                <w:sz w:val="21"/>
                <w:szCs w:val="22"/>
              </w:rPr>
              <w:t>.</w:t>
            </w:r>
            <w:proofErr w:type="gramEnd"/>
            <w:r w:rsidRPr="007A0A92">
              <w:rPr>
                <w:rFonts w:ascii="Times New Roman" w:hAnsi="Times New Roman"/>
                <w:bCs/>
                <w:color w:val="000000" w:themeColor="text1"/>
                <w:sz w:val="21"/>
                <w:szCs w:val="22"/>
              </w:rPr>
              <w:t xml:space="preserve">,  </w:t>
            </w:r>
            <w:r w:rsidRPr="007A0A92">
              <w:rPr>
                <w:rFonts w:ascii="Times New Roman" w:hAnsi="Times New Roman"/>
                <w:color w:val="000000" w:themeColor="text1"/>
                <w:sz w:val="21"/>
              </w:rPr>
              <w:t>CCR Director</w:t>
            </w:r>
          </w:p>
        </w:tc>
      </w:tr>
      <w:tr w:rsidR="00C20174" w:rsidRPr="007A0A92" w14:paraId="0EA682AA" w14:textId="77777777" w:rsidTr="00042E81">
        <w:trPr>
          <w:trHeight w:val="313"/>
        </w:trPr>
        <w:tc>
          <w:tcPr>
            <w:tcW w:w="1928" w:type="dxa"/>
            <w:vAlign w:val="center"/>
          </w:tcPr>
          <w:p w14:paraId="2E826CAB" w14:textId="77777777" w:rsidR="00C20174" w:rsidRPr="007A0A92" w:rsidRDefault="00C20174" w:rsidP="00042E81">
            <w:pPr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10:15 – 10:30</w:t>
            </w:r>
          </w:p>
        </w:tc>
        <w:tc>
          <w:tcPr>
            <w:tcW w:w="9412" w:type="dxa"/>
            <w:vAlign w:val="center"/>
          </w:tcPr>
          <w:p w14:paraId="5C8FAB2B" w14:textId="77777777" w:rsidR="00C20174" w:rsidRPr="007A0A92" w:rsidRDefault="00C20174" w:rsidP="00042E81">
            <w:pPr>
              <w:spacing w:before="60" w:after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7A0A92">
              <w:rPr>
                <w:rFonts w:ascii="Times New Roman" w:hAnsi="Times New Roman"/>
                <w:b/>
                <w:szCs w:val="22"/>
              </w:rPr>
              <w:t>Break</w:t>
            </w:r>
          </w:p>
        </w:tc>
      </w:tr>
      <w:tr w:rsidR="00C20174" w:rsidRPr="007A0A92" w14:paraId="32D67DE4" w14:textId="77777777" w:rsidTr="00042E81">
        <w:trPr>
          <w:trHeight w:val="745"/>
        </w:trPr>
        <w:tc>
          <w:tcPr>
            <w:tcW w:w="1928" w:type="dxa"/>
            <w:vAlign w:val="center"/>
          </w:tcPr>
          <w:p w14:paraId="24EF78C5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10:30 – 12:00</w:t>
            </w:r>
          </w:p>
        </w:tc>
        <w:tc>
          <w:tcPr>
            <w:tcW w:w="9412" w:type="dxa"/>
            <w:vAlign w:val="center"/>
          </w:tcPr>
          <w:p w14:paraId="11F8DC36" w14:textId="77777777" w:rsidR="00C20174" w:rsidRPr="00C20174" w:rsidRDefault="00C20174" w:rsidP="00042E81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18"/>
              </w:rPr>
            </w:pPr>
            <w:r w:rsidRPr="00C20174">
              <w:rPr>
                <w:rFonts w:ascii="Times New Roman" w:hAnsi="Times New Roman"/>
                <w:b/>
                <w:color w:val="000000" w:themeColor="text1"/>
                <w:szCs w:val="18"/>
              </w:rPr>
              <w:t>Detailing: Broaden your expertise and boost your CV</w:t>
            </w:r>
          </w:p>
          <w:p w14:paraId="1324B167" w14:textId="77777777" w:rsidR="00C20174" w:rsidRPr="00C20174" w:rsidRDefault="00C20174" w:rsidP="00042E81">
            <w:pPr>
              <w:ind w:left="8" w:right="8"/>
              <w:rPr>
                <w:rFonts w:ascii="Times New Roman" w:hAnsi="Times New Roman"/>
                <w:color w:val="000000" w:themeColor="text1"/>
                <w:sz w:val="22"/>
                <w:szCs w:val="18"/>
              </w:rPr>
            </w:pPr>
            <w:r w:rsidRPr="00C20174">
              <w:rPr>
                <w:rFonts w:ascii="Times New Roman" w:hAnsi="Times New Roman"/>
                <w:b/>
                <w:bCs/>
                <w:iCs/>
                <w:color w:val="000000" w:themeColor="text1"/>
                <w:sz w:val="22"/>
                <w:szCs w:val="18"/>
              </w:rPr>
              <w:t> </w:t>
            </w:r>
          </w:p>
          <w:p w14:paraId="01B66F39" w14:textId="77777777" w:rsidR="00C20174" w:rsidRPr="00C20174" w:rsidRDefault="00C20174" w:rsidP="00042E81">
            <w:pPr>
              <w:ind w:left="8" w:right="8"/>
              <w:rPr>
                <w:rFonts w:ascii="Times New Roman" w:hAnsi="Times New Roman"/>
                <w:bCs/>
                <w:i/>
                <w:iCs/>
                <w:color w:val="000000" w:themeColor="text1"/>
                <w:sz w:val="22"/>
                <w:szCs w:val="18"/>
              </w:rPr>
            </w:pPr>
            <w:r w:rsidRPr="00C20174">
              <w:rPr>
                <w:rFonts w:ascii="Times New Roman" w:hAnsi="Times New Roman"/>
                <w:bCs/>
                <w:i/>
                <w:iCs/>
                <w:color w:val="000000" w:themeColor="text1"/>
                <w:sz w:val="22"/>
                <w:szCs w:val="18"/>
              </w:rPr>
              <w:t xml:space="preserve">Chris Corey: </w:t>
            </w:r>
            <w:r w:rsidRPr="00C20174"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2"/>
                <w:szCs w:val="18"/>
              </w:rPr>
              <w:t>What is Detailing?</w:t>
            </w:r>
            <w:r w:rsidRPr="00C20174">
              <w:rPr>
                <w:rFonts w:ascii="Times New Roman" w:hAnsi="Times New Roman"/>
                <w:bCs/>
                <w:i/>
                <w:iCs/>
                <w:color w:val="000000" w:themeColor="text1"/>
                <w:sz w:val="22"/>
                <w:szCs w:val="18"/>
              </w:rPr>
              <w:t xml:space="preserve"> </w:t>
            </w:r>
          </w:p>
          <w:p w14:paraId="4ED59707" w14:textId="77777777" w:rsidR="00C20174" w:rsidRPr="00C20174" w:rsidRDefault="00C20174" w:rsidP="00042E81">
            <w:pPr>
              <w:pStyle w:val="p1"/>
              <w:rPr>
                <w:b/>
                <w:i/>
                <w:color w:val="000000" w:themeColor="text1"/>
                <w:sz w:val="20"/>
              </w:rPr>
            </w:pPr>
          </w:p>
          <w:p w14:paraId="730FBFA8" w14:textId="77777777" w:rsidR="00C20174" w:rsidRPr="00C20174" w:rsidRDefault="00C20174" w:rsidP="00042E81">
            <w:pPr>
              <w:pStyle w:val="p1"/>
              <w:rPr>
                <w:b/>
                <w:color w:val="000000" w:themeColor="text1"/>
                <w:sz w:val="21"/>
              </w:rPr>
            </w:pPr>
            <w:r w:rsidRPr="00C20174">
              <w:rPr>
                <w:b/>
                <w:i/>
                <w:color w:val="000000" w:themeColor="text1"/>
                <w:sz w:val="21"/>
              </w:rPr>
              <w:t>Training Program at the Center for Scientific Review</w:t>
            </w:r>
          </w:p>
          <w:p w14:paraId="3E389840" w14:textId="77777777" w:rsidR="00C20174" w:rsidRPr="00C20174" w:rsidRDefault="00C20174" w:rsidP="00042E81">
            <w:pPr>
              <w:pStyle w:val="p1"/>
              <w:rPr>
                <w:color w:val="000000" w:themeColor="text1"/>
                <w:sz w:val="20"/>
              </w:rPr>
            </w:pPr>
            <w:proofErr w:type="spellStart"/>
            <w:r w:rsidRPr="00C20174">
              <w:rPr>
                <w:i/>
                <w:color w:val="000000" w:themeColor="text1"/>
                <w:sz w:val="22"/>
                <w:szCs w:val="17"/>
              </w:rPr>
              <w:t>Karyl</w:t>
            </w:r>
            <w:proofErr w:type="spellEnd"/>
            <w:r w:rsidRPr="00C20174">
              <w:rPr>
                <w:i/>
                <w:color w:val="000000" w:themeColor="text1"/>
                <w:sz w:val="22"/>
                <w:szCs w:val="17"/>
              </w:rPr>
              <w:t xml:space="preserve"> Swartz, </w:t>
            </w:r>
            <w:proofErr w:type="spellStart"/>
            <w:proofErr w:type="gramStart"/>
            <w:r w:rsidRPr="00C20174">
              <w:rPr>
                <w:i/>
                <w:color w:val="000000" w:themeColor="text1"/>
                <w:sz w:val="22"/>
                <w:szCs w:val="17"/>
              </w:rPr>
              <w:t>Ph.D</w:t>
            </w:r>
            <w:proofErr w:type="spellEnd"/>
            <w:proofErr w:type="gramEnd"/>
            <w:r w:rsidRPr="00C20174">
              <w:rPr>
                <w:color w:val="000000" w:themeColor="text1"/>
              </w:rPr>
              <w:t xml:space="preserve"> </w:t>
            </w:r>
            <w:r w:rsidRPr="00C20174">
              <w:rPr>
                <w:color w:val="000000" w:themeColor="text1"/>
                <w:sz w:val="20"/>
              </w:rPr>
              <w:t>Associate Director for Diversity and Workforce Development</w:t>
            </w:r>
          </w:p>
          <w:p w14:paraId="1C35B1C9" w14:textId="77777777" w:rsidR="00C20174" w:rsidRPr="00C20174" w:rsidRDefault="00C20174" w:rsidP="00042E81">
            <w:pPr>
              <w:rPr>
                <w:rFonts w:ascii="Times New Roman" w:hAnsi="Times New Roman"/>
                <w:i/>
                <w:color w:val="000000" w:themeColor="text1"/>
                <w:sz w:val="22"/>
              </w:rPr>
            </w:pPr>
          </w:p>
          <w:p w14:paraId="52F21A06" w14:textId="77777777" w:rsidR="00C20174" w:rsidRPr="00C20174" w:rsidRDefault="00C20174" w:rsidP="00042E81">
            <w:pPr>
              <w:pStyle w:val="p1"/>
              <w:rPr>
                <w:i/>
                <w:color w:val="000000" w:themeColor="text1"/>
                <w:sz w:val="22"/>
              </w:rPr>
            </w:pPr>
            <w:r w:rsidRPr="00C20174">
              <w:rPr>
                <w:b/>
                <w:i/>
                <w:color w:val="000000" w:themeColor="text1"/>
                <w:sz w:val="22"/>
              </w:rPr>
              <w:t>Personal Story of finding a detail</w:t>
            </w:r>
            <w:r w:rsidRPr="00C20174">
              <w:rPr>
                <w:i/>
                <w:color w:val="000000" w:themeColor="text1"/>
                <w:sz w:val="22"/>
              </w:rPr>
              <w:t xml:space="preserve"> </w:t>
            </w:r>
          </w:p>
          <w:p w14:paraId="2CDD4640" w14:textId="77777777" w:rsidR="00C20174" w:rsidRPr="00C20174" w:rsidRDefault="00C20174" w:rsidP="00042E81">
            <w:pPr>
              <w:pStyle w:val="p1"/>
              <w:rPr>
                <w:color w:val="000000" w:themeColor="text1"/>
                <w:sz w:val="20"/>
                <w:szCs w:val="17"/>
              </w:rPr>
            </w:pPr>
            <w:r w:rsidRPr="00C20174">
              <w:rPr>
                <w:i/>
                <w:color w:val="000000" w:themeColor="text1"/>
                <w:sz w:val="22"/>
              </w:rPr>
              <w:t xml:space="preserve">Michael </w:t>
            </w:r>
            <w:proofErr w:type="spellStart"/>
            <w:r w:rsidRPr="00C20174">
              <w:rPr>
                <w:i/>
                <w:color w:val="000000" w:themeColor="text1"/>
                <w:sz w:val="22"/>
              </w:rPr>
              <w:t>Difilippantonio</w:t>
            </w:r>
            <w:proofErr w:type="spellEnd"/>
            <w:r w:rsidRPr="00C20174">
              <w:rPr>
                <w:i/>
                <w:color w:val="000000" w:themeColor="text1"/>
                <w:sz w:val="22"/>
              </w:rPr>
              <w:t>, Ph.D</w:t>
            </w:r>
            <w:r w:rsidRPr="00C20174">
              <w:rPr>
                <w:color w:val="000000" w:themeColor="text1"/>
                <w:sz w:val="21"/>
              </w:rPr>
              <w:t xml:space="preserve">. </w:t>
            </w:r>
            <w:r w:rsidRPr="00C20174">
              <w:rPr>
                <w:color w:val="000000" w:themeColor="text1"/>
                <w:sz w:val="17"/>
                <w:szCs w:val="17"/>
              </w:rPr>
              <w:t xml:space="preserve"> </w:t>
            </w:r>
            <w:r w:rsidRPr="00C20174">
              <w:rPr>
                <w:color w:val="000000" w:themeColor="text1"/>
                <w:sz w:val="20"/>
                <w:szCs w:val="17"/>
              </w:rPr>
              <w:t>Program Manager for Therapeutic and Diagnostic Initiatives</w:t>
            </w:r>
          </w:p>
          <w:p w14:paraId="3FDCD892" w14:textId="77777777" w:rsidR="00C20174" w:rsidRPr="00C20174" w:rsidRDefault="00C20174" w:rsidP="00042E81">
            <w:pPr>
              <w:rPr>
                <w:rFonts w:ascii="Times New Roman" w:hAnsi="Times New Roman"/>
                <w:color w:val="000000" w:themeColor="text1"/>
                <w:sz w:val="20"/>
                <w:szCs w:val="17"/>
              </w:rPr>
            </w:pPr>
            <w:r w:rsidRPr="00C20174">
              <w:rPr>
                <w:rFonts w:ascii="Times New Roman" w:hAnsi="Times New Roman"/>
                <w:color w:val="000000" w:themeColor="text1"/>
                <w:sz w:val="20"/>
                <w:szCs w:val="17"/>
              </w:rPr>
              <w:t>Office of the Director, Division of Cancer Treatment &amp; Diagnosis (DCTD)</w:t>
            </w:r>
            <w:r w:rsidRPr="00C20174">
              <w:rPr>
                <w:rFonts w:ascii="Times New Roman" w:hAnsi="Times New Roman"/>
                <w:b/>
                <w:i/>
                <w:color w:val="000000" w:themeColor="text1"/>
                <w:sz w:val="22"/>
              </w:rPr>
              <w:t xml:space="preserve"> </w:t>
            </w:r>
          </w:p>
          <w:p w14:paraId="166D3248" w14:textId="77777777" w:rsidR="00C20174" w:rsidRPr="00C20174" w:rsidRDefault="00C20174" w:rsidP="00042E81">
            <w:pPr>
              <w:rPr>
                <w:rFonts w:ascii="Times New Roman" w:hAnsi="Times New Roman"/>
                <w:bCs/>
                <w:i/>
                <w:iCs/>
                <w:color w:val="000000" w:themeColor="text1"/>
                <w:sz w:val="22"/>
                <w:szCs w:val="18"/>
              </w:rPr>
            </w:pPr>
          </w:p>
          <w:p w14:paraId="762EB471" w14:textId="77777777" w:rsidR="00C20174" w:rsidRPr="000D57D7" w:rsidRDefault="00C20174" w:rsidP="00042E81">
            <w:pPr>
              <w:rPr>
                <w:rFonts w:ascii="Times New Roman" w:eastAsiaTheme="minorHAnsi" w:hAnsi="Times New Roman"/>
                <w:b/>
                <w:i/>
                <w:color w:val="000000" w:themeColor="text1"/>
                <w:sz w:val="21"/>
                <w:szCs w:val="18"/>
              </w:rPr>
            </w:pPr>
            <w:r w:rsidRPr="00C20174">
              <w:rPr>
                <w:rFonts w:ascii="Times New Roman" w:eastAsiaTheme="minorHAnsi" w:hAnsi="Times New Roman"/>
                <w:b/>
                <w:i/>
                <w:color w:val="000000" w:themeColor="text1"/>
                <w:sz w:val="21"/>
                <w:szCs w:val="18"/>
              </w:rPr>
              <w:t>NCI-Talent Continuum, opening possibilities to a new career path.</w:t>
            </w:r>
          </w:p>
          <w:p w14:paraId="78CD4D68" w14:textId="77777777" w:rsidR="00C20174" w:rsidRPr="00C20174" w:rsidRDefault="00C20174" w:rsidP="00042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 w:themeColor="text1"/>
                <w:sz w:val="21"/>
                <w:szCs w:val="22"/>
              </w:rPr>
            </w:pPr>
            <w:r w:rsidRPr="00C20174">
              <w:rPr>
                <w:rFonts w:ascii="Times New Roman" w:hAnsi="Times New Roman"/>
                <w:bCs/>
                <w:i/>
                <w:color w:val="000000" w:themeColor="text1"/>
                <w:sz w:val="22"/>
                <w:szCs w:val="22"/>
              </w:rPr>
              <w:t xml:space="preserve">Ofelia Olivero, Ph.D., </w:t>
            </w:r>
            <w:r w:rsidRPr="00C20174">
              <w:rPr>
                <w:rFonts w:ascii="Times New Roman" w:hAnsi="Times New Roman"/>
                <w:color w:val="000000" w:themeColor="text1"/>
                <w:sz w:val="21"/>
                <w:szCs w:val="22"/>
              </w:rPr>
              <w:t xml:space="preserve">Chief, Intramural Diversity Workforce Branch, Center for Cancer Training, NCI </w:t>
            </w:r>
          </w:p>
          <w:p w14:paraId="771F8072" w14:textId="77777777" w:rsidR="00C20174" w:rsidRPr="00C20174" w:rsidRDefault="00C20174" w:rsidP="00042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</w:p>
          <w:p w14:paraId="0E8F8463" w14:textId="77777777" w:rsidR="00C20174" w:rsidRPr="00C20174" w:rsidRDefault="00C20174" w:rsidP="00042E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 w:themeColor="text1"/>
                <w:sz w:val="22"/>
                <w:szCs w:val="22"/>
              </w:rPr>
            </w:pPr>
            <w:r w:rsidRPr="00C20174">
              <w:rPr>
                <w:rFonts w:ascii="Times New Roman" w:hAnsi="Times New Roman"/>
                <w:b/>
                <w:i/>
                <w:color w:val="000000" w:themeColor="text1"/>
                <w:sz w:val="22"/>
              </w:rPr>
              <w:t>Panel discussion</w:t>
            </w:r>
          </w:p>
        </w:tc>
      </w:tr>
      <w:tr w:rsidR="00C20174" w:rsidRPr="007A0A92" w14:paraId="2A4AD807" w14:textId="77777777" w:rsidTr="00042E81">
        <w:trPr>
          <w:trHeight w:val="331"/>
        </w:trPr>
        <w:tc>
          <w:tcPr>
            <w:tcW w:w="1928" w:type="dxa"/>
            <w:vAlign w:val="center"/>
          </w:tcPr>
          <w:p w14:paraId="69A868F2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12:00 – 1:00</w:t>
            </w:r>
          </w:p>
        </w:tc>
        <w:tc>
          <w:tcPr>
            <w:tcW w:w="9412" w:type="dxa"/>
            <w:vAlign w:val="center"/>
          </w:tcPr>
          <w:p w14:paraId="7CCEF2F0" w14:textId="77777777" w:rsidR="00C20174" w:rsidRPr="00C20174" w:rsidRDefault="00C20174" w:rsidP="00042E81">
            <w:pPr>
              <w:spacing w:before="60" w:after="120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C20174">
              <w:rPr>
                <w:rFonts w:ascii="Times New Roman" w:hAnsi="Times New Roman"/>
                <w:b/>
                <w:color w:val="000000" w:themeColor="text1"/>
                <w:szCs w:val="22"/>
              </w:rPr>
              <w:t>Lunch on your own</w:t>
            </w:r>
          </w:p>
        </w:tc>
      </w:tr>
      <w:tr w:rsidR="00C20174" w:rsidRPr="007A0A92" w14:paraId="12F4F41D" w14:textId="77777777" w:rsidTr="00042E81">
        <w:trPr>
          <w:trHeight w:val="2166"/>
        </w:trPr>
        <w:tc>
          <w:tcPr>
            <w:tcW w:w="1928" w:type="dxa"/>
            <w:vAlign w:val="center"/>
          </w:tcPr>
          <w:p w14:paraId="144E3B52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1:00 – 2:30</w:t>
            </w:r>
          </w:p>
        </w:tc>
        <w:tc>
          <w:tcPr>
            <w:tcW w:w="9412" w:type="dxa"/>
            <w:vAlign w:val="center"/>
          </w:tcPr>
          <w:p w14:paraId="184663CD" w14:textId="77777777" w:rsidR="00C20174" w:rsidRPr="00C20174" w:rsidRDefault="00C20174" w:rsidP="00042E81">
            <w:pPr>
              <w:ind w:left="8" w:right="8"/>
              <w:rPr>
                <w:rFonts w:ascii="Times New Roman" w:hAnsi="Times New Roman"/>
                <w:b/>
                <w:bCs/>
                <w:iCs/>
                <w:color w:val="000000" w:themeColor="text1"/>
                <w:szCs w:val="18"/>
              </w:rPr>
            </w:pPr>
            <w:r w:rsidRPr="00C20174">
              <w:rPr>
                <w:rFonts w:ascii="Times New Roman" w:hAnsi="Times New Roman"/>
                <w:b/>
                <w:bCs/>
                <w:iCs/>
                <w:color w:val="000000" w:themeColor="text1"/>
                <w:szCs w:val="18"/>
              </w:rPr>
              <w:t xml:space="preserve">                                    Science and Innovation    </w:t>
            </w:r>
          </w:p>
          <w:p w14:paraId="5F6F6CFD" w14:textId="77777777" w:rsidR="00C20174" w:rsidRPr="00C20174" w:rsidRDefault="00C20174" w:rsidP="00042E81">
            <w:pPr>
              <w:ind w:left="8" w:right="8"/>
              <w:rPr>
                <w:rFonts w:ascii="Times New Roman" w:hAnsi="Times New Roman"/>
                <w:color w:val="000000" w:themeColor="text1"/>
                <w:sz w:val="22"/>
                <w:szCs w:val="18"/>
              </w:rPr>
            </w:pPr>
          </w:p>
          <w:p w14:paraId="50B5049E" w14:textId="77777777" w:rsidR="00C20174" w:rsidRPr="00C20174" w:rsidRDefault="00C20174" w:rsidP="00042E81">
            <w:pPr>
              <w:pStyle w:val="Heading1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</w:pPr>
            <w:proofErr w:type="spellStart"/>
            <w:r w:rsidRPr="00C20174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>Herren</w:t>
            </w:r>
            <w:proofErr w:type="spellEnd"/>
            <w:r w:rsidRPr="00C20174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</w:rPr>
              <w:t xml:space="preserve"> Wu, Ph.D. </w:t>
            </w:r>
            <w:r w:rsidRPr="00C20174">
              <w:rPr>
                <w:rFonts w:ascii="Times New Roman" w:hAnsi="Times New Roman" w:cs="Times New Roman"/>
                <w:color w:val="000000" w:themeColor="text1"/>
                <w:szCs w:val="28"/>
              </w:rPr>
              <w:t xml:space="preserve"> </w:t>
            </w:r>
            <w:r w:rsidRPr="00C20174"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  <w:t>SVP, Chief Technology Officer, and</w:t>
            </w:r>
          </w:p>
          <w:p w14:paraId="4B7F1204" w14:textId="77777777" w:rsidR="00C20174" w:rsidRPr="00C20174" w:rsidRDefault="00C20174" w:rsidP="00042E81">
            <w:pPr>
              <w:pStyle w:val="Heading1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</w:pPr>
            <w:r w:rsidRPr="00C20174"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  <w:t xml:space="preserve"> Global Head of Antibody Discovery and Protein Engineering, </w:t>
            </w:r>
            <w:proofErr w:type="spellStart"/>
            <w:r w:rsidRPr="00C20174"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  <w:t>MedImmune</w:t>
            </w:r>
            <w:proofErr w:type="spellEnd"/>
            <w:r w:rsidRPr="00C20174">
              <w:rPr>
                <w:rFonts w:ascii="Times New Roman" w:hAnsi="Times New Roman" w:cs="Times New Roman"/>
                <w:b w:val="0"/>
                <w:color w:val="000000" w:themeColor="text1"/>
                <w:sz w:val="21"/>
                <w:szCs w:val="28"/>
              </w:rPr>
              <w:t>/AstraZeneca</w:t>
            </w:r>
          </w:p>
          <w:p w14:paraId="64E2FD84" w14:textId="77777777" w:rsidR="00C20174" w:rsidRPr="00C20174" w:rsidRDefault="00C20174" w:rsidP="00042E81">
            <w:pPr>
              <w:rPr>
                <w:color w:val="000000" w:themeColor="text1"/>
              </w:rPr>
            </w:pPr>
          </w:p>
          <w:p w14:paraId="73249787" w14:textId="77777777" w:rsidR="00C20174" w:rsidRPr="00C20174" w:rsidRDefault="00C20174" w:rsidP="00042E81">
            <w:pPr>
              <w:pStyle w:val="p1"/>
              <w:rPr>
                <w:b/>
                <w:color w:val="000000" w:themeColor="text1"/>
                <w:sz w:val="22"/>
                <w:szCs w:val="21"/>
              </w:rPr>
            </w:pPr>
            <w:r w:rsidRPr="00C20174">
              <w:rPr>
                <w:b/>
                <w:i/>
                <w:color w:val="000000" w:themeColor="text1"/>
                <w:sz w:val="22"/>
                <w:szCs w:val="17"/>
              </w:rPr>
              <w:t>Catalyzing Translational Innovation</w:t>
            </w:r>
          </w:p>
          <w:p w14:paraId="5DD6096E" w14:textId="77777777" w:rsidR="00C20174" w:rsidRPr="00C20174" w:rsidRDefault="00C20174" w:rsidP="00042E81">
            <w:pPr>
              <w:pStyle w:val="p1"/>
              <w:rPr>
                <w:i/>
                <w:color w:val="000000" w:themeColor="text1"/>
                <w:sz w:val="21"/>
                <w:szCs w:val="17"/>
              </w:rPr>
            </w:pPr>
            <w:r w:rsidRPr="00C20174">
              <w:rPr>
                <w:i/>
                <w:color w:val="000000" w:themeColor="text1"/>
                <w:sz w:val="22"/>
              </w:rPr>
              <w:t xml:space="preserve">Christopher P. Austin, M.D.  </w:t>
            </w:r>
            <w:r w:rsidRPr="00C20174">
              <w:rPr>
                <w:color w:val="000000" w:themeColor="text1"/>
                <w:sz w:val="21"/>
              </w:rPr>
              <w:t xml:space="preserve">Director, </w:t>
            </w:r>
            <w:r w:rsidRPr="00C20174">
              <w:rPr>
                <w:iCs/>
                <w:color w:val="000000" w:themeColor="text1"/>
                <w:sz w:val="21"/>
              </w:rPr>
              <w:t>NCATS</w:t>
            </w:r>
            <w:r w:rsidRPr="00C20174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7734B6AC" w14:textId="77777777" w:rsidR="00C20174" w:rsidRPr="00C20174" w:rsidRDefault="00C20174" w:rsidP="00042E81">
            <w:pPr>
              <w:rPr>
                <w:rFonts w:ascii="Times New Roman" w:hAnsi="Times New Roman"/>
                <w:i/>
                <w:color w:val="000000" w:themeColor="text1"/>
                <w:sz w:val="22"/>
                <w:szCs w:val="18"/>
              </w:rPr>
            </w:pPr>
          </w:p>
          <w:p w14:paraId="3C50CC09" w14:textId="77777777" w:rsidR="00C20174" w:rsidRPr="00C20174" w:rsidRDefault="00C20174" w:rsidP="00042E81">
            <w:pPr>
              <w:rPr>
                <w:rFonts w:ascii="Times New Roman" w:hAnsi="Times New Roman"/>
                <w:i/>
                <w:color w:val="000000" w:themeColor="text1"/>
                <w:sz w:val="22"/>
                <w:szCs w:val="18"/>
              </w:rPr>
            </w:pPr>
            <w:r w:rsidRPr="00C20174">
              <w:rPr>
                <w:rFonts w:ascii="Times New Roman" w:hAnsi="Times New Roman"/>
                <w:i/>
                <w:color w:val="000000" w:themeColor="text1"/>
                <w:sz w:val="22"/>
                <w:szCs w:val="18"/>
              </w:rPr>
              <w:t xml:space="preserve">Jennifer </w:t>
            </w:r>
            <w:proofErr w:type="spellStart"/>
            <w:r w:rsidRPr="00C20174">
              <w:rPr>
                <w:rFonts w:ascii="Times New Roman" w:hAnsi="Times New Roman"/>
                <w:i/>
                <w:color w:val="000000" w:themeColor="text1"/>
                <w:sz w:val="22"/>
                <w:szCs w:val="18"/>
              </w:rPr>
              <w:t>Kanakry</w:t>
            </w:r>
            <w:proofErr w:type="spellEnd"/>
            <w:r w:rsidRPr="00C20174">
              <w:rPr>
                <w:rFonts w:ascii="Times New Roman" w:hAnsi="Times New Roman"/>
                <w:i/>
                <w:color w:val="000000" w:themeColor="text1"/>
                <w:sz w:val="22"/>
                <w:szCs w:val="18"/>
              </w:rPr>
              <w:t xml:space="preserve">, M.D., </w:t>
            </w:r>
            <w:r w:rsidRPr="00C20174">
              <w:rPr>
                <w:rFonts w:ascii="Times New Roman" w:hAnsi="Times New Roman"/>
                <w:color w:val="000000" w:themeColor="text1"/>
                <w:sz w:val="21"/>
              </w:rPr>
              <w:t>Clinical Head of Transplant, ETIB</w:t>
            </w:r>
          </w:p>
          <w:p w14:paraId="02B05050" w14:textId="77777777" w:rsidR="00C20174" w:rsidRPr="00C20174" w:rsidRDefault="00C20174" w:rsidP="00042E81">
            <w:pPr>
              <w:rPr>
                <w:rFonts w:ascii="Times New Roman" w:hAnsi="Times New Roman"/>
                <w:i/>
                <w:color w:val="000000" w:themeColor="text1"/>
                <w:sz w:val="22"/>
              </w:rPr>
            </w:pPr>
          </w:p>
          <w:p w14:paraId="4105B4C6" w14:textId="77777777" w:rsidR="00C20174" w:rsidRPr="00C20174" w:rsidRDefault="00C20174" w:rsidP="00042E81">
            <w:pPr>
              <w:rPr>
                <w:rFonts w:ascii="Times New Roman" w:hAnsi="Times New Roman"/>
                <w:b/>
                <w:i/>
                <w:color w:val="000000" w:themeColor="text1"/>
                <w:sz w:val="22"/>
              </w:rPr>
            </w:pPr>
            <w:r w:rsidRPr="00C20174">
              <w:rPr>
                <w:rFonts w:ascii="Times New Roman" w:hAnsi="Times New Roman"/>
                <w:b/>
                <w:i/>
                <w:color w:val="000000" w:themeColor="text1"/>
                <w:sz w:val="22"/>
              </w:rPr>
              <w:t>Panel discussion</w:t>
            </w:r>
          </w:p>
        </w:tc>
      </w:tr>
      <w:tr w:rsidR="00C20174" w:rsidRPr="007A0A92" w14:paraId="7A8AECDC" w14:textId="77777777" w:rsidTr="00042E81">
        <w:trPr>
          <w:trHeight w:val="313"/>
        </w:trPr>
        <w:tc>
          <w:tcPr>
            <w:tcW w:w="1928" w:type="dxa"/>
            <w:vAlign w:val="center"/>
          </w:tcPr>
          <w:p w14:paraId="5A45C165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2:30 – 2:45</w:t>
            </w:r>
          </w:p>
        </w:tc>
        <w:tc>
          <w:tcPr>
            <w:tcW w:w="9412" w:type="dxa"/>
            <w:vAlign w:val="center"/>
          </w:tcPr>
          <w:p w14:paraId="411916C2" w14:textId="77777777" w:rsidR="00C20174" w:rsidRPr="007A0A92" w:rsidRDefault="00C20174" w:rsidP="00042E81">
            <w:pPr>
              <w:spacing w:before="60" w:after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9C0C28">
              <w:rPr>
                <w:rFonts w:ascii="Times New Roman" w:hAnsi="Times New Roman"/>
                <w:b/>
                <w:szCs w:val="22"/>
              </w:rPr>
              <w:t>Break</w:t>
            </w:r>
          </w:p>
        </w:tc>
      </w:tr>
      <w:tr w:rsidR="00C20174" w:rsidRPr="007A0A92" w14:paraId="229C3F69" w14:textId="77777777" w:rsidTr="00042E81">
        <w:trPr>
          <w:trHeight w:val="476"/>
        </w:trPr>
        <w:tc>
          <w:tcPr>
            <w:tcW w:w="1928" w:type="dxa"/>
            <w:vAlign w:val="center"/>
          </w:tcPr>
          <w:p w14:paraId="3EADB2B3" w14:textId="77777777" w:rsidR="00C20174" w:rsidRPr="007A0A92" w:rsidRDefault="00C20174" w:rsidP="00042E81">
            <w:pPr>
              <w:spacing w:after="60"/>
              <w:jc w:val="center"/>
              <w:rPr>
                <w:rFonts w:ascii="Times New Roman" w:hAnsi="Times New Roman"/>
                <w:szCs w:val="22"/>
              </w:rPr>
            </w:pPr>
            <w:r w:rsidRPr="007A0A92">
              <w:rPr>
                <w:rFonts w:ascii="Times New Roman" w:hAnsi="Times New Roman"/>
                <w:szCs w:val="22"/>
              </w:rPr>
              <w:t>2:45 – 4:15</w:t>
            </w:r>
          </w:p>
        </w:tc>
        <w:tc>
          <w:tcPr>
            <w:tcW w:w="9412" w:type="dxa"/>
            <w:vAlign w:val="center"/>
          </w:tcPr>
          <w:p w14:paraId="28AD63C1" w14:textId="77777777" w:rsidR="00C20174" w:rsidRPr="007A0A92" w:rsidRDefault="00C20174" w:rsidP="00042E81">
            <w:pPr>
              <w:widowControl w:val="0"/>
              <w:autoSpaceDE w:val="0"/>
              <w:autoSpaceDN w:val="0"/>
              <w:adjustRightInd w:val="0"/>
              <w:spacing w:after="160"/>
              <w:rPr>
                <w:rFonts w:ascii="Times New Roman" w:hAnsi="Times New Roman"/>
                <w:b/>
                <w:bCs/>
                <w:iCs/>
                <w:color w:val="FF2500"/>
                <w:szCs w:val="18"/>
              </w:rPr>
            </w:pPr>
            <w:r w:rsidRPr="007A0A92">
              <w:rPr>
                <w:rFonts w:ascii="Times New Roman" w:hAnsi="Times New Roman"/>
                <w:b/>
                <w:bCs/>
                <w:i/>
                <w:iCs/>
                <w:szCs w:val="18"/>
              </w:rPr>
              <w:t xml:space="preserve">                            </w:t>
            </w:r>
            <w:r w:rsidRPr="007A0A92">
              <w:rPr>
                <w:rFonts w:ascii="Times New Roman" w:hAnsi="Times New Roman"/>
                <w:b/>
                <w:bCs/>
                <w:iCs/>
                <w:szCs w:val="18"/>
              </w:rPr>
              <w:t>Workshop:</w:t>
            </w:r>
            <w:r w:rsidRPr="007A0A92">
              <w:rPr>
                <w:rFonts w:ascii="Times New Roman" w:hAnsi="Times New Roman"/>
                <w:szCs w:val="18"/>
              </w:rPr>
              <w:t xml:space="preserve"> </w:t>
            </w:r>
            <w:r w:rsidRPr="007A0A92">
              <w:rPr>
                <w:rFonts w:ascii="Times New Roman" w:hAnsi="Times New Roman"/>
                <w:color w:val="000000" w:themeColor="text1"/>
                <w:szCs w:val="18"/>
              </w:rPr>
              <w:t xml:space="preserve"> </w:t>
            </w:r>
            <w:r w:rsidRPr="007A0A92">
              <w:rPr>
                <w:rFonts w:ascii="Times New Roman" w:hAnsi="Times New Roman"/>
                <w:b/>
                <w:bCs/>
                <w:iCs/>
                <w:color w:val="000000" w:themeColor="text1"/>
                <w:szCs w:val="18"/>
              </w:rPr>
              <w:t>Managing Innovation</w:t>
            </w:r>
          </w:p>
          <w:p w14:paraId="1ED8BE14" w14:textId="77777777" w:rsidR="00C20174" w:rsidRPr="007A0A92" w:rsidRDefault="00C20174" w:rsidP="00042E81">
            <w:pPr>
              <w:rPr>
                <w:rFonts w:ascii="Times New Roman" w:hAnsi="Times New Roman"/>
                <w:bCs/>
                <w:iCs/>
                <w:color w:val="000000" w:themeColor="text1"/>
                <w:sz w:val="21"/>
                <w:szCs w:val="28"/>
              </w:rPr>
            </w:pPr>
            <w:r w:rsidRPr="007A0A92">
              <w:rPr>
                <w:rFonts w:ascii="Times New Roman" w:hAnsi="Times New Roman"/>
                <w:bCs/>
                <w:i/>
                <w:iCs/>
                <w:color w:val="000000" w:themeColor="text1"/>
                <w:sz w:val="22"/>
                <w:szCs w:val="28"/>
              </w:rPr>
              <w:t xml:space="preserve">Mahesh Joshi, PhD, </w:t>
            </w:r>
            <w:r w:rsidRPr="007A0A92">
              <w:rPr>
                <w:rFonts w:ascii="Times New Roman" w:hAnsi="Times New Roman"/>
                <w:bCs/>
                <w:iCs/>
                <w:color w:val="000000" w:themeColor="text1"/>
                <w:sz w:val="21"/>
                <w:szCs w:val="28"/>
              </w:rPr>
              <w:t xml:space="preserve">George Mason University, </w:t>
            </w:r>
          </w:p>
          <w:p w14:paraId="7C00CC5F" w14:textId="77777777" w:rsidR="00C20174" w:rsidRPr="007A0A92" w:rsidRDefault="00C20174" w:rsidP="00042E81">
            <w:pPr>
              <w:rPr>
                <w:rFonts w:ascii="Times New Roman" w:hAnsi="Times New Roman"/>
                <w:bCs/>
                <w:iCs/>
                <w:color w:val="000000" w:themeColor="text1"/>
                <w:sz w:val="21"/>
                <w:szCs w:val="28"/>
              </w:rPr>
            </w:pPr>
            <w:r w:rsidRPr="007A0A92">
              <w:rPr>
                <w:rFonts w:ascii="Times New Roman" w:hAnsi="Times New Roman"/>
                <w:color w:val="000000" w:themeColor="text1"/>
                <w:sz w:val="21"/>
                <w:szCs w:val="28"/>
              </w:rPr>
              <w:t xml:space="preserve">Associate Professor, Global Strategy and Entrepreneurship </w:t>
            </w:r>
          </w:p>
          <w:p w14:paraId="45AD40D0" w14:textId="77777777" w:rsidR="00C20174" w:rsidRPr="007A0A92" w:rsidRDefault="00C20174" w:rsidP="00042E81">
            <w:pPr>
              <w:rPr>
                <w:rFonts w:ascii="Times New Roman" w:hAnsi="Times New Roman"/>
                <w:color w:val="000000" w:themeColor="text1"/>
                <w:sz w:val="21"/>
                <w:szCs w:val="28"/>
              </w:rPr>
            </w:pPr>
            <w:r w:rsidRPr="007A0A92">
              <w:rPr>
                <w:rFonts w:ascii="Times New Roman" w:hAnsi="Times New Roman"/>
                <w:color w:val="000000" w:themeColor="text1"/>
                <w:sz w:val="21"/>
                <w:szCs w:val="28"/>
              </w:rPr>
              <w:t>Director of Research &amp; Practice, Center for Innovation &amp; Entrepreneurship</w:t>
            </w:r>
          </w:p>
        </w:tc>
      </w:tr>
    </w:tbl>
    <w:p w14:paraId="26DEACE3" w14:textId="77777777" w:rsidR="00B05A17" w:rsidRPr="00B13384" w:rsidRDefault="00B05A17" w:rsidP="00B05A17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800000"/>
          <w:sz w:val="28"/>
          <w:szCs w:val="36"/>
        </w:rPr>
      </w:pPr>
    </w:p>
    <w:p w14:paraId="479B41BA" w14:textId="77777777" w:rsidR="00073446" w:rsidRDefault="00073446"/>
    <w:sectPr w:rsidR="00073446" w:rsidSect="00272363">
      <w:pgSz w:w="12240" w:h="15840"/>
      <w:pgMar w:top="360" w:right="360" w:bottom="360" w:left="36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17"/>
    <w:rsid w:val="00073446"/>
    <w:rsid w:val="00141FB0"/>
    <w:rsid w:val="001F65ED"/>
    <w:rsid w:val="005302B1"/>
    <w:rsid w:val="006F614B"/>
    <w:rsid w:val="00886079"/>
    <w:rsid w:val="00AB7246"/>
    <w:rsid w:val="00B05A17"/>
    <w:rsid w:val="00B257B5"/>
    <w:rsid w:val="00C20174"/>
    <w:rsid w:val="00C83072"/>
    <w:rsid w:val="00CB4A1E"/>
    <w:rsid w:val="00E55587"/>
    <w:rsid w:val="00EA1EE9"/>
    <w:rsid w:val="00ED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4B4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A17"/>
    <w:rPr>
      <w:rFonts w:ascii="Cambria" w:eastAsia="Times New Roman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C20174"/>
    <w:pPr>
      <w:keepNext/>
      <w:jc w:val="center"/>
      <w:outlineLvl w:val="0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05A17"/>
    <w:rPr>
      <w:rFonts w:ascii="Times New Roman" w:hAnsi="Times New Roman"/>
      <w:color w:val="FF2500"/>
      <w:sz w:val="18"/>
      <w:szCs w:val="18"/>
    </w:rPr>
  </w:style>
  <w:style w:type="character" w:customStyle="1" w:styleId="s1">
    <w:name w:val="s1"/>
    <w:basedOn w:val="DefaultParagraphFont"/>
    <w:rsid w:val="00B05A17"/>
  </w:style>
  <w:style w:type="character" w:customStyle="1" w:styleId="Heading1Char">
    <w:name w:val="Heading 1 Char"/>
    <w:basedOn w:val="DefaultParagraphFont"/>
    <w:link w:val="Heading1"/>
    <w:rsid w:val="00C20174"/>
    <w:rPr>
      <w:rFonts w:ascii="Arial" w:eastAsia="Times New Roman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hyperlink" Target="https://ccr.cancer.gov/Laboratory-of-Patholog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Choksi, Swati (NIH/NCI) [E]</dc:creator>
  <cp:keywords/>
  <dc:description/>
  <cp:lastModifiedBy>Choksi, Swati (NIH/NCI) [E]</cp:lastModifiedBy>
  <cp:revision>3</cp:revision>
  <dcterms:created xsi:type="dcterms:W3CDTF">2017-09-12T19:17:00Z</dcterms:created>
  <dcterms:modified xsi:type="dcterms:W3CDTF">2017-09-14T18:31:00Z</dcterms:modified>
</cp:coreProperties>
</file>