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Markdown 示例：表格与 LaTeX 公式</w:t>
      </w:r>
    </w:p>
    <w:p/>
    <w:p>
      <w:r>
        <w:t>这是一个包含表格和 LaTeX 公式的 Markdown 示例。</w:t>
      </w:r>
    </w:p>
    <w:p/>
    <w:p>
      <w:pPr>
        <w:pBdr>
          <w:bottom w:val="single" w:sz="6" w:space="1" w:color="auto"/>
        </w:pBdr>
        <w:jc w:val="center"/>
      </w:pPr>
    </w:p>
    <w:p/>
    <w:p>
      <w:pPr>
        <w:pStyle w:val="Heading2"/>
      </w:pPr>
      <w:r>
        <w:t>一些常见的数学公式</w:t>
      </w:r>
    </w:p>
    <w:p/>
    <w:p>
      <w:r>
        <w:t xml:space="preserve">1. </w:t>
      </w:r>
      <w:r>
        <w:rPr>
          <w:b/>
        </w:rPr>
        <w:t>二次方程公式</w:t>
      </w:r>
      <w:r>
        <w:t>：</w:t>
      </w:r>
    </w:p>
    <w:p>
      <m:oMath xmlns:mml="http://www.w3.org/1998/Math/MathML"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+bx+c=0</m:t>
        </m:r>
      </m:oMath>
    </w:p>
    <w:p/>
    <w:p>
      <w:r>
        <w:t xml:space="preserve">2. </w:t>
      </w:r>
      <w:r>
        <w:rPr>
          <w:b/>
        </w:rPr>
        <w:t>勾股定理</w:t>
      </w:r>
      <w:r>
        <w:t>：</w:t>
      </w:r>
    </w:p>
    <w:p>
      <m:oMath xmlns:mml="http://www.w3.org/1998/Math/MathML"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/>
    <w:p>
      <w:r>
        <w:t xml:space="preserve">3. </w:t>
      </w:r>
      <w:r>
        <w:rPr>
          <w:b/>
        </w:rPr>
        <w:t>欧拉公式</w:t>
      </w:r>
      <w:r>
        <w:t>：</w:t>
      </w:r>
    </w:p>
    <w:p>
      <m:oMath xmlns:mml="http://www.w3.org/1998/Math/MathML">
        <m:sSup>
          <m:e>
            <m:r>
              <m:t>e</m:t>
            </m:r>
          </m:e>
          <m:sup>
            <m:r>
              <m:t>iπ</m:t>
            </m:r>
          </m:sup>
        </m:sSup>
        <m:r>
          <m:t>+1=0</m:t>
        </m:r>
      </m:oMath>
    </w:p>
    <w:p/>
    <w:p>
      <w:r>
        <w:t xml:space="preserve">4. </w:t>
      </w:r>
      <w:r>
        <w:rPr>
          <w:b/>
        </w:rPr>
        <w:t>积分公式</w:t>
      </w:r>
      <w:r>
        <w:t>：</w:t>
      </w:r>
    </w:p>
    <w:p>
      <m:oMath xmlns:mml="http://www.w3.org/1998/Math/MathML">
        <m:nary>
          <m:naryPr>
            <m:chr m:val="∫"/>
            <m:limLoc m:val="subSup"/>
            <m:grow m:val="1"/>
            <m:subHide m:val="off"/>
            <m:supHide m:val="off"/>
          </m:naryPr>
          <m:sub>
            <m:r>
              <m:t>a</m:t>
            </m:r>
          </m:sub>
          <m:sup>
            <m:r>
              <m:t>b</m:t>
            </m:r>
          </m:sup>
          <m:e/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dx=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</m:oMath>
    </w:p>
    <w:p/>
    <w:p>
      <w:pPr>
        <w:pBdr>
          <w:bottom w:val="single" w:sz="6" w:space="1" w:color="auto"/>
        </w:pBdr>
        <w:jc w:val="center"/>
      </w:pPr>
    </w:p>
    <w:p/>
    <w:p>
      <w:pPr>
        <w:pStyle w:val="Heading2"/>
      </w:pPr>
      <w:r>
        <w:t>示例表格</w:t>
      </w:r>
    </w:p>
    <w:p/>
    <w:p>
      <w:r>
        <w:t>下面是一个表格，展示了一些数学符号及其含义：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  <w:r>
              <w:t>符号</w:t>
            </w:r>
          </w:p>
        </w:tc>
        <w:tc>
          <w:tcPr>
            <w:tcW w:type="dxa" w:w="2880"/>
          </w:tcPr>
          <w:p>
            <w:r/>
            <w:r>
              <w:t>含义</w:t>
            </w:r>
          </w:p>
        </w:tc>
        <w:tc>
          <w:tcPr>
            <w:tcW w:type="dxa" w:w="2880"/>
          </w:tcPr>
          <w:p>
            <w:r/>
            <w:r>
              <w:t>示例公式</w:t>
            </w:r>
          </w:p>
        </w:tc>
      </w:tr>
      <w:tr>
        <w:tc>
          <w:tcPr>
            <w:tcW w:type="dxa" w:w="2880"/>
          </w:tcPr>
          <w:p>
            <w:r/>
            <w:r/>
            <m:oMath xmlns:mml="http://www.w3.org/1998/Math/MathML">
              <m:r>
                <m:t>π</m:t>
              </m:r>
            </m:oMath>
            <w:r/>
          </w:p>
        </w:tc>
        <w:tc>
          <w:tcPr>
            <w:tcW w:type="dxa" w:w="2880"/>
          </w:tcPr>
          <w:p>
            <w:r/>
            <w:r>
              <w:t>圆周率</w:t>
            </w:r>
          </w:p>
        </w:tc>
        <w:tc>
          <w:tcPr>
            <w:tcW w:type="dxa" w:w="2880"/>
          </w:tcPr>
          <w:p>
            <w:r/>
            <w:r/>
            <m:oMath xmlns:mml="http://www.w3.org/1998/Math/MathML">
              <m:r>
                <m:t>π≈3.14159</m:t>
              </m:r>
            </m:oMath>
            <w:r/>
          </w:p>
        </w:tc>
      </w:tr>
      <w:tr>
        <w:tc>
          <w:tcPr>
            <w:tcW w:type="dxa" w:w="2880"/>
          </w:tcPr>
          <w:p>
            <w:r/>
            <w:r/>
            <m:oMath xmlns:mml="http://www.w3.org/1998/Math/MathML">
              <m:r>
                <m:t>e</m:t>
              </m:r>
            </m:oMath>
            <w:r/>
          </w:p>
        </w:tc>
        <w:tc>
          <w:tcPr>
            <w:tcW w:type="dxa" w:w="2880"/>
          </w:tcPr>
          <w:p>
            <w:r/>
            <w:r>
              <w:t>自然对数的底数</w:t>
            </w:r>
          </w:p>
        </w:tc>
        <w:tc>
          <w:tcPr>
            <w:tcW w:type="dxa" w:w="2880"/>
          </w:tcPr>
          <w:p>
            <w:r/>
            <w:r/>
            <m:oMath xmlns:mml="http://www.w3.org/1998/Math/MathML">
              <m:r>
                <m:t>e≈2.71828</m:t>
              </m:r>
            </m:oMath>
            <w:r/>
          </w:p>
        </w:tc>
      </w:tr>
      <w:tr>
        <w:tc>
          <w:tcPr>
            <w:tcW w:type="dxa" w:w="2880"/>
          </w:tcPr>
          <w:p>
            <w:r/>
            <w:r/>
            <m:oMath xmlns:mml="http://www.w3.org/1998/Math/MathML">
              <m:r>
                <m:t>Σ</m:t>
              </m:r>
            </m:oMath>
            <w:r/>
          </w:p>
        </w:tc>
        <w:tc>
          <w:tcPr>
            <w:tcW w:type="dxa" w:w="2880"/>
          </w:tcPr>
          <w:p>
            <w:r/>
            <w:r>
              <w:t>求和符号</w:t>
            </w:r>
          </w:p>
        </w:tc>
        <w:tc>
          <w:tcPr>
            <w:tcW w:type="dxa" w:w="2880"/>
          </w:tcPr>
          <w:p>
            <w:r/>
            <w:r/>
            <m:oMath xmlns:mml="http://www.w3.org/1998/Math/MathML">
              <m:nary>
                <m:naryPr>
                  <m:chr m:val="∑"/>
                  <m:limLoc m:val="subSup"/>
                  <m:grow m:val="1"/>
                  <m:subHide m:val="off"/>
                  <m:supHide m:val="off"/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/>
              </m:nary>
              <m:r>
                <m:t>i=</m:t>
              </m:r>
              <m:f>
                <m:fPr>
                  <m:type m:val="bar"/>
                </m:fPr>
                <m:num>
                  <m:r>
                    <m:t>n(n+1)</m:t>
                  </m:r>
                </m:num>
                <m:den>
                  <m:r>
                    <m:t>2</m:t>
                  </m:r>
                </m:den>
              </m:f>
            </m:oMath>
            <w:r/>
          </w:p>
        </w:tc>
      </w:tr>
      <w:tr>
        <w:tc>
          <w:tcPr>
            <w:tcW w:type="dxa" w:w="2880"/>
          </w:tcPr>
          <w:p>
            <w:r/>
            <w:r/>
            <m:oMath xmlns:mml="http://www.w3.org/1998/Math/MathML">
              <m:r>
                <m:t>∫</m:t>
              </m:r>
            </m:oMath>
            <w:r/>
          </w:p>
        </w:tc>
        <w:tc>
          <w:tcPr>
            <w:tcW w:type="dxa" w:w="2880"/>
          </w:tcPr>
          <w:p>
            <w:r/>
            <w:r>
              <w:t>积分符号</w:t>
            </w:r>
          </w:p>
        </w:tc>
        <w:tc>
          <w:tcPr>
            <w:tcW w:type="dxa" w:w="2880"/>
          </w:tcPr>
          <w:p>
            <w:r/>
            <w:r/>
            <m:oMath xmlns:mml="http://www.w3.org/1998/Math/MathML">
              <m:nary>
                <m:naryPr>
                  <m:chr m:val="∫"/>
                  <m:limLoc m:val="subSup"/>
                  <m:grow m:val="1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∞</m:t>
                  </m:r>
                </m:sup>
                <m:e/>
              </m:nary>
              <m:sSup>
                <m:e>
                  <m:r>
                    <m:t>e</m:t>
                  </m:r>
                </m:e>
                <m:sup>
                  <m:r>
                    <m:t>−x</m:t>
                  </m:r>
                </m:sup>
              </m:sSup>
              <m:r>
                <m:t>dx=1</m:t>
              </m:r>
            </m:oMath>
            <w:r/>
          </w:p>
        </w:tc>
      </w:tr>
      <w:tr>
        <w:tc>
          <w:tcPr>
            <w:tcW w:type="dxa" w:w="2880"/>
          </w:tcPr>
          <w:p>
            <w:r/>
            <w:r/>
            <m:oMath xmlns:mml="http://www.w3.org/1998/Math/MathML">
              <m:r>
                <m:t>∇</m:t>
              </m:r>
            </m:oMath>
            <w:r/>
          </w:p>
        </w:tc>
        <w:tc>
          <w:tcPr>
            <w:tcW w:type="dxa" w:w="2880"/>
          </w:tcPr>
          <w:p>
            <w:r/>
            <w:r>
              <w:t>梯度符号</w:t>
            </w:r>
          </w:p>
        </w:tc>
        <w:tc>
          <w:tcPr>
            <w:tcW w:type="dxa" w:w="2880"/>
          </w:tcPr>
          <w:p>
            <w:r/>
            <w:r/>
            <m:oMath xmlns:mml="http://www.w3.org/1998/Math/MathML">
              <m:r>
                <m:t>∇f(x,y)=</m:t>
              </m:r>
              <m:r>
                <m:t>(</m:t>
              </m:r>
              <m:f>
                <m:fPr>
                  <m:type m:val="bar"/>
                </m:fPr>
                <m:num>
                  <m:r>
                    <m:t>∂f</m:t>
                  </m:r>
                </m:num>
                <m:den>
                  <m:r>
                    <m:t>∂x</m:t>
                  </m:r>
                </m:den>
              </m:f>
              <m:r>
                <m:t>,</m:t>
              </m:r>
              <m:f>
                <m:fPr>
                  <m:type m:val="bar"/>
                </m:fPr>
                <m:num>
                  <m:r>
                    <m:t>∂f</m:t>
                  </m:r>
                </m:num>
                <m:den>
                  <m:r>
                    <m:t>∂y</m:t>
                  </m:r>
                </m:den>
              </m:f>
              <m:r>
                <m:t>)</m:t>
              </m:r>
            </m:oMath>
            <w:r/>
          </w:p>
        </w:tc>
      </w:tr>
    </w:tbl>
    <w:p/>
    <w:p>
      <w:pPr>
        <w:pBdr>
          <w:bottom w:val="single" w:sz="6" w:space="1" w:color="auto"/>
        </w:pBdr>
        <w:jc w:val="center"/>
      </w:pPr>
    </w:p>
    <w:p/>
    <w:p>
      <w:pPr>
        <w:pStyle w:val="Heading2"/>
      </w:pPr>
      <w:r>
        <w:t>复杂公式示例</w:t>
      </w:r>
    </w:p>
    <w:p/>
    <w:p>
      <w:r>
        <w:t xml:space="preserve">1. </w:t>
      </w:r>
      <w:r>
        <w:rPr>
          <w:b/>
        </w:rPr>
        <w:t>麦克斯韦方程组</w:t>
      </w:r>
      <w:r>
        <w:t>（积分形式）：</w:t>
      </w:r>
    </w:p>
    <w:p>
      <w:r>
        <w:t>2.</w:t>
      </w:r>
    </w:p>
    <w:p>
      <w:r>
        <w:t>3.</w:t>
      </w:r>
    </w:p>
    <w:p>
      <m:oMath xmlns:mml="http://www.w3.org/1998/Math/MathML">
        <m:nary>
          <m:naryPr>
            <m:chr m:val="∮"/>
            <m:limLoc m:val="subSup"/>
            <m:grow m:val="1"/>
            <m:subHide m:val="off"/>
            <m:supHide m:val="on"/>
          </m:naryPr>
          <m:sub>
            <m:r>
              <m:t>∂V</m:t>
            </m:r>
          </m:sub>
          <m:sup/>
          <m:e/>
        </m:nary>
        <m:r>
          <m:t>𝐄·d𝐀=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ϵ</m:t>
                </m:r>
              </m:e>
              <m:sub>
                <m:r>
                  <m:t>0</m:t>
                </m:r>
              </m:sub>
            </m:sSub>
          </m:den>
        </m:f>
        <m:r>
          <m:t>,</m:t>
        </m:r>
        <m:nary>
          <m:naryPr>
            <m:chr m:val="∮"/>
            <m:limLoc m:val="subSup"/>
            <m:grow m:val="1"/>
            <m:subHide m:val="off"/>
            <m:supHide m:val="on"/>
          </m:naryPr>
          <m:sub>
            <m:r>
              <m:t>∂V</m:t>
            </m:r>
          </m:sub>
          <m:sup/>
          <m:e/>
        </m:nary>
        <m:r>
          <m:t>𝐁·d𝐀=0</m:t>
        </m:r>
      </m:oMath>
    </w:p>
    <w:p>
      <w:r/>
      <w:r>
        <w:rPr>
          <w:b/>
        </w:rPr>
        <w:t>广义相对论的场方程</w:t>
      </w:r>
      <w:r>
        <w:t>：</w:t>
      </w:r>
    </w:p>
    <w:p>
      <m:oMath xmlns:mml="http://www.w3.org/1998/Math/MathML">
        <m:sSub>
          <m:e>
            <m:r>
              <m:t>R</m:t>
            </m:r>
          </m:e>
          <m:sub>
            <m:r>
              <m:t>μν</m:t>
            </m:r>
          </m:sub>
        </m:sSub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b>
          <m:e>
            <m:r>
              <m:t>g</m:t>
            </m:r>
          </m:e>
          <m:sub>
            <m:r>
              <m:t>μν</m:t>
            </m:r>
          </m:sub>
        </m:sSub>
        <m:r>
          <m:t>+Λ</m:t>
        </m:r>
        <m:sSub>
          <m:e>
            <m:r>
              <m:t>g</m:t>
            </m:r>
          </m:e>
          <m:sub>
            <m:r>
              <m:t>μν</m:t>
            </m:r>
          </m:sub>
        </m:sSub>
        <m:r>
          <m:t>=</m:t>
        </m:r>
        <m:f>
          <m:fPr>
            <m:type m:val="bar"/>
          </m:fPr>
          <m:num>
            <m:r>
              <m:t>8πG</m:t>
            </m:r>
          </m:num>
          <m:den>
            <m:sSup>
              <m:e>
                <m:r>
                  <m:t>c</m:t>
                </m:r>
              </m:e>
              <m:sup>
                <m:r>
                  <m:t>4</m:t>
                </m:r>
              </m:sup>
            </m:sSup>
          </m:den>
        </m:f>
        <m:sSub>
          <m:e>
            <m:r>
              <m:t>T</m:t>
            </m:r>
          </m:e>
          <m:sub>
            <m:r>
              <m:t>μν</m:t>
            </m:r>
          </m:sub>
        </m:sSub>
      </m:oMath>
    </w:p>
    <w:p>
      <w:r/>
      <w:r>
        <w:rPr>
          <w:b/>
        </w:rPr>
        <w:t>狄拉克 δ 函数</w:t>
      </w:r>
      <w:r>
        <w:t>：</w:t>
      </w:r>
    </w:p>
    <w:p>
      <m:oMath xmlns:mml="http://www.w3.org/1998/Math/MathML">
        <m:nary>
          <m:naryPr>
            <m:chr m:val="∫"/>
            <m:limLoc m:val="subSup"/>
            <m:grow m:val="1"/>
            <m:subHide m:val="off"/>
            <m:supHide m:val="off"/>
          </m:naryPr>
          <m:sub>
            <m:r>
              <m:t>−∞</m:t>
            </m:r>
          </m:sub>
          <m:sup>
            <m:r>
              <m:t>∞</m:t>
            </m:r>
          </m:sup>
          <m:e/>
        </m:nary>
        <m:r>
          <m:t>δ(x)f(x)</m:t>
        </m:r>
        <m:r>
          <m:t>dx=f(0)</m:t>
        </m:r>
      </m:oMath>
    </w:p>
    <w:p/>
    <w:p>
      <w:pPr>
        <w:pBdr>
          <w:bottom w:val="single" w:sz="6" w:space="1" w:color="auto"/>
        </w:pBdr>
        <w:jc w:val="center"/>
      </w:pPr>
    </w:p>
    <w:p/>
    <w:p>
      <w:pPr>
        <w:pStyle w:val="Heading2"/>
      </w:pPr>
      <w:r>
        <w:t>总结</w:t>
      </w:r>
    </w:p>
    <w:p/>
    <w:p>
      <w:r>
        <w:t>在 Markdown 中，可以通过插入 LaTeX 公式和表格来展示复杂的数学和科学内容。只需确保渲染工具支持 LaTeX 和表格语法！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