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  <w:jc w:val="center"/>
      </w:pPr>
      <w:r>
        <w:rPr>
          <w:rFonts w:ascii="Times New Roman" w:hAnsi="Times New Roman" w:cs="Times New Roman" w:eastAsia="標楷體"/>
          <w:b/>
          <w:sz w:val="40"/>
        </w:rPr>
        <w:t>免疫方向補強：NIH GEO 腎臟切片轉錄體模型準確度報告</w:t>
      </w:r>
    </w:p>
    <w:p>
      <w:pPr>
        <w:jc w:val="center"/>
      </w:pPr>
      <w:r>
        <w:rPr>
          <w:rFonts w:ascii="Times New Roman" w:hAnsi="Times New Roman" w:cs="Times New Roman" w:eastAsia="標楷體"/>
          <w:b w:val="0"/>
          <w:sz w:val="24"/>
        </w:rPr>
        <w:t xml:space="preserve">資料：NIH 國家生物技術資訊中心（NCBI）Gene Expression Omnibus 公開之歐洲腎臟 cDNA 庫（ERCB）切片轉錄體，GSE104948（腎絲球）與 GSE104954（腎小管間質）。每例診斷皆經腎臟病理確認。分析計畫 </w:t>
      </w:r>
      <w:r>
        <w:rPr>
          <w:rFonts w:ascii="Consolas" w:hAnsi="Consolas" w:cs="Consolas" w:eastAsia="細明體"/>
          <w:b w:val="0"/>
          <w:sz w:val="24"/>
        </w:rPr>
        <w:t>params/immune_geo_plan.json</w:t>
      </w:r>
      <w:r>
        <w:rPr>
          <w:rFonts w:ascii="Times New Roman" w:hAnsi="Times New Roman" w:cs="Times New Roman" w:eastAsia="標楷體"/>
          <w:b w:val="0"/>
          <w:sz w:val="24"/>
        </w:rPr>
        <w:t xml:space="preserve"> 於執行前提交（8cf98d5）；發現批次混淆後之修正一 </w:t>
      </w:r>
      <w:r>
        <w:rPr>
          <w:rFonts w:ascii="Consolas" w:hAnsi="Consolas" w:cs="Consolas" w:eastAsia="細明體"/>
          <w:b w:val="0"/>
          <w:sz w:val="24"/>
        </w:rPr>
        <w:t>params/immune_geo_amendment_1.json</w:t>
      </w:r>
      <w:r>
        <w:rPr>
          <w:rFonts w:ascii="Times New Roman" w:hAnsi="Times New Roman" w:cs="Times New Roman" w:eastAsia="標楷體"/>
          <w:b w:val="0"/>
          <w:sz w:val="24"/>
        </w:rPr>
        <w:t xml:space="preserve"> 亦於執行前提交（b051817）。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一、結論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1. </w:t>
      </w:r>
      <w:r>
        <w:rPr>
          <w:rFonts w:ascii="Times New Roman" w:hAnsi="Times New Roman" w:cs="Times New Roman" w:eastAsia="標楷體"/>
          <w:b w:val="0"/>
          <w:sz w:val="24"/>
        </w:rPr>
        <w:t>在同一處理批次內，免疫性腎病與非免疫腎病在腎臟組織有可區分的分子訊號。ANCA 血管炎對非免疫腎病，免疫路徑模型 AUROC 0.773、全基因模型 0.927；紅斑性狼瘡腎炎對 FSGS，免疫路徑模型 0.938。三項任務皆通過修正一於計算前寫定的判定規則（B2 只有全基因模型通過），且在腎小管間質重現。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2. </w:t>
      </w:r>
      <w:r>
        <w:rPr>
          <w:rFonts w:ascii="Times New Roman" w:hAnsi="Times New Roman" w:cs="Times New Roman" w:eastAsia="標楷體"/>
          <w:b w:val="0"/>
          <w:sz w:val="24"/>
        </w:rPr>
        <w:t>唯一能直接比較「免疫對代謝」的是 ANCA 對糖尿病腎病變（22 對 7 例）：全基因模型 AUROC 0.852（95% CI 0.68–1.00），但免疫路徑模型只有 0.594，未達顯著。這表示事前選的六條免疫路徑不足以區分這兩種病，全基因模型的判別力主要來自路徑以外的基因。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3. </w:t>
      </w:r>
      <w:r>
        <w:rPr>
          <w:rFonts w:ascii="Times New Roman" w:hAnsi="Times New Roman" w:cs="Times New Roman" w:eastAsia="標楷體"/>
          <w:b w:val="0"/>
          <w:sz w:val="24"/>
        </w:rPr>
        <w:t>狼瘡腎炎的訊號集中在干擾素路徑（單一路徑 AUROC 0.961），高於 1,000 組隨機基因集的第 95 百分位，屬免疫路徑專屬；ANCA 的路徑模型則只在隨機基因集第 87.8 百分位，代表其與非免疫腎病之差異廣泛分布於全基因體，不專屬事前路徑。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4. </w:t>
      </w:r>
      <w:r>
        <w:rPr>
          <w:rFonts w:ascii="Times New Roman" w:hAnsi="Times New Roman" w:cs="Times New Roman" w:eastAsia="標楷體"/>
          <w:b w:val="0"/>
          <w:sz w:val="24"/>
        </w:rPr>
        <w:t>IgA 腎病變與高血壓腎病變各自只在一個處理批次，同批次內沒有對照，本資料無法評估。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5. </w:t>
      </w:r>
      <w:r>
        <w:rPr>
          <w:rFonts w:ascii="Times New Roman" w:hAnsi="Times New Roman" w:cs="Times New Roman" w:eastAsia="標楷體"/>
          <w:b w:val="0"/>
          <w:sz w:val="24"/>
        </w:rPr>
        <w:t>事前計畫原定的主要任務（狼瘡腎炎＋IgA 腎病變對糖尿病＋高血壓腎病變）因診斷與處理批次完全重疊而失效（見第六節），其數字不可引用。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二、任務與樣本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任務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比較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批次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腎絲球人數（陽性）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腎小管間質人數（陽性）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B1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ANCA 血管炎 對 非免疫腎病（DN、FSGS、MCD）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H7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50（22）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39（21）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B2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ANCA 血管炎 對 糖尿病腎病變（免疫對代謝）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H7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29（22）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28（21）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B3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紅斑性狼瘡腎炎 對 FSGS（非免疫）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H5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40（32）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43（33）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模型：免疫路徑模型＝六條事前路徑分數（干擾素、補體、B 細胞／漿細胞、T 細胞、單核巨噬細胞、嗜中性球）＋邏輯迴歸；全基因模型＝12,074 個基因＋強正則化邏輯迴歸。超參數固定、不調參。評估採分層五折、重複 20 次，所有標準化只用訓練折；分類門檻＝訓練折之陽性比例（事前機率）。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三、二元任務準確度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任務・模型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AUROC 平均（最小–最大）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95% CI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置換 p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平衡準確率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敏感度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特異度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Brier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腎小管間質 AUROC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B1・免疫路徑模型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0.773（0.721–0.810）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0.64–0.89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&lt;0.001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68.0%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68.0%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68.2%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67.9%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0.813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B1・全基因模型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0.927（0.880–0.968）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0.87–0.99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&lt;0.001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86.0%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85.6%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81.8%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89.3%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0.094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0.879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B2・免疫路徑模型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0.594（0.494–0.682）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0.26–0.73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48.3%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46.4%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50.0%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42.9%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0.245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0.686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B2・全基因模型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0.852（0.766–0.916）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0.68–1.00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0.005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89.7%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83.4%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95.5%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71.4%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0.124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0.830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B3・免疫路徑模型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0.938（0.852–0.965）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0.85–0.99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&lt;0.001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84.4%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87.5%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0.087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0.926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B3・全基因模型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0.710（0.648–0.816）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0.39–0.86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0.069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80.0%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64.1%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90.6%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37.5%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0.145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0.765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註：95% CI 與準確率、敏感度、特異度、Brier 取第一次重複之折外預測；置換檢定打亂標籤 1,000 次，兩種模型以 Bonferroni 校正（p &lt; 0.025 為顯著）。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61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r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1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四、回推可能病因（多類別）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批次・模型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類別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平衡準確率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前二名命中率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全猜最多類之準確率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H7・免疫路徑模型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ANCA／DN／FSGS／MCD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56.2%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50.5%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88.0%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44.0%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H7・全基因模型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ANCA／DN／FSGS／MCD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69.0%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58.3%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44.0%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H5・免疫路徑模型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SLE／MN／FSGS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79.8%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63.2%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96.5%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52.5%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H5・全基因模型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SLE／MN／FSGS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82.7%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70.1%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92.9%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52.5%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H7 全基因模型混淆矩陣（第一次重複；列＝真實、欄＝預測）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真實＼預測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ANCA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DN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FSGS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MCD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ANCA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DN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FSGS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MCD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H5 全基因模型混淆矩陣（第一次重複；列＝真實、欄＝預測）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真實＼預測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SLE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MN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FSGS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SLE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MN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FSGS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5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多類別的主要錯誤是樣本少的類別（H7 的 DN 7 例、H5 的 FSGS 8 例）常被歸到大類；前二名命中率高於八成，適合作為「列出候選病因」而非「單一判定」。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五、哪些免疫路徑在區分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路徑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B1 AUROC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B1 差（z）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B2 AUROC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B2 差（z）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B3 AUROC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B3 差（z）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干擾素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0.469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-0.02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0.558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0.961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+1.53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補體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0.831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0.630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+0.27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0.723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+0.47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 細胞／漿細胞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0.589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+0.31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0.455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-0.17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0.547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+0.11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T 細胞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+0.40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0.409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-0.10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0.512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-0.02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單核巨噬細胞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0.838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+1.08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0.591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+0.43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0.824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+0.85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嗜中性球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0.769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+0.88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0.766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+0.81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0.688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+0.61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差＝免疫組減對照組之路徑分數平均（z 單位）。ANCA 以補體、單核巨噬細胞、嗜中性球升高為主；狼瘡腎炎以干擾素為主。探索性比較：膜性腎病變（抗體介導、發炎少）對 FSGS，補體路徑 AUROC 0.202（方向相反），提示免疫細胞路徑分數可能只對「發炎型」免疫腎病敏感。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六、事前計畫為何失效（照實報告）</w:t>
      </w: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GEO 樣本來源名稱中的 H 代碼是處理批次。GPL24120 平台上，糖尿病腎病變全在 H1、高血壓腎病變全在 H2、IgA 腎病變全在 H4、狼瘡腎炎在 H5。事前計畫只注意到兩個晶片平台的混淆，漏看了批次，因此原定任務比較的其實是批次。徵兆是全基因模型 AUROC 遠低於 0.5：交叉驗證 0.246、保留測試集 0.013，訓練集卻幾乎全對，屬於記憶批次。原計畫判定「回推成立」為否，「免疫路徑專屬」雖為是，但同樣無法解讀。平台陰性對照 AUROC 0.015 被判為通過，是因為門檻只看信賴區間上界；AUROC 遠低於 0.5 同樣代表兩平台可完全分開，平台校正實際上失敗。原結果檔照原樣保留，未刪改。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七、限制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1. </w:t>
      </w:r>
      <w:r>
        <w:rPr>
          <w:rFonts w:ascii="Times New Roman" w:hAnsi="Times New Roman" w:cs="Times New Roman" w:eastAsia="標楷體"/>
          <w:b w:val="0"/>
          <w:sz w:val="24"/>
        </w:rPr>
        <w:t>這是確診後的切片組織，不是常規抽血驗尿；結果說明免疫性病因在腎臟本身可辨識，以及哪些路徑值得轉成血液或尿液檢驗，不能證明常規檢驗可回推免疫方向。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2. </w:t>
      </w:r>
      <w:r>
        <w:rPr>
          <w:rFonts w:ascii="Times New Roman" w:hAnsi="Times New Roman" w:cs="Times New Roman" w:eastAsia="標楷體"/>
          <w:b w:val="0"/>
          <w:sz w:val="24"/>
        </w:rPr>
        <w:t>樣本少（B2 只有 29 例，其中糖尿病腎病變 7 例），信賴區間寬；腎絲球與腎小管間質來自同一批切片，重現不是獨立驗證。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3. </w:t>
      </w:r>
      <w:r>
        <w:rPr>
          <w:rFonts w:ascii="Times New Roman" w:hAnsi="Times New Roman" w:cs="Times New Roman" w:eastAsia="標楷體"/>
          <w:b w:val="0"/>
          <w:sz w:val="24"/>
        </w:rPr>
        <w:t>沒有獨立的外部資料集；同批次內仍可能存在未記錄的處理差異。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4. </w:t>
      </w:r>
      <w:r>
        <w:rPr>
          <w:rFonts w:ascii="Times New Roman" w:hAnsi="Times New Roman" w:cs="Times New Roman" w:eastAsia="標楷體"/>
          <w:b w:val="0"/>
          <w:sz w:val="24"/>
        </w:rPr>
        <w:t>ERCB 的糖尿病腎病變是臨床上需要切片的非典型個案，不代表一般糖尿病腎病變。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5. </w:t>
      </w:r>
      <w:r>
        <w:rPr>
          <w:rFonts w:ascii="Times New Roman" w:hAnsi="Times New Roman" w:cs="Times New Roman" w:eastAsia="標楷體"/>
          <w:b w:val="0"/>
          <w:sz w:val="24"/>
        </w:rPr>
        <w:t>沒有感染方向的資料；IgA 腎病變與高血壓腎病變無法評估。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八、獨立檢驗</w:t>
      </w: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 xml:space="preserve">另一工作階段以自行撰寫的程式重算關鍵數字並檢查資料洩漏，報告見 </w:t>
      </w:r>
      <w:r>
        <w:rPr>
          <w:rFonts w:ascii="Consolas" w:hAnsi="Consolas" w:cs="Consolas" w:eastAsia="細明體"/>
          <w:b w:val="0"/>
          <w:sz w:val="24"/>
        </w:rPr>
        <w:t>results/immune_geo_audit.md</w:t>
      </w:r>
      <w:r>
        <w:rPr>
          <w:rFonts w:ascii="Times New Roman" w:hAnsi="Times New Roman" w:cs="Times New Roman" w:eastAsia="標楷體"/>
          <w:b w:val="0"/>
          <w:sz w:val="24"/>
        </w:rPr>
        <w:t>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九、重現方式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immune_geo.py            # 事前計畫版（結果已存在則拒跑）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immune_geo_batchsafe.py  # 修正一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-m pytest test_immune_geo.py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-X utf8 build_immune_geo_report.py</w:t>
      </w:r>
    </w:p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 xml:space="preserve">計畫 SHA256：00f836c42fcee687…；修正一 SHA256：08a221db3f59600f…；資料五檔之 URL 與 SHA256 見 </w:t>
      </w:r>
      <w:r>
        <w:rPr>
          <w:rFonts w:ascii="Consolas" w:hAnsi="Consolas" w:cs="Consolas" w:eastAsia="細明體"/>
          <w:b w:val="0"/>
          <w:sz w:val="24"/>
        </w:rPr>
        <w:t>results/provenance.json</w:t>
      </w:r>
      <w:r>
        <w:rPr>
          <w:rFonts w:ascii="Times New Roman" w:hAnsi="Times New Roman" w:cs="Times New Roman" w:eastAsia="標楷體"/>
          <w:b w:val="0"/>
          <w:sz w:val="24"/>
        </w:rPr>
        <w:t>。</w:t>
      </w:r>
    </w:p>
    <w:sectPr w:rsidR="00FC693F" w:rsidRPr="0006063C" w:rsidSect="00034616"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標楷體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