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spacing w:after="180"/>
        <w:jc w:val="center"/>
      </w:pPr>
      <w:r>
        <w:rPr>
          <w:b/>
          <w:bCs/>
          <w:color w:val="3182F6"/>
          <w:sz w:val="20"/>
          <w:szCs w:val="20"/>
        </w:rPr>
        <w:t xml:space="preserve">NOWHERE DATA PIPELINE</w:t>
      </w:r>
    </w:p>
    <w:p>
      <w:pPr>
        <w:spacing w:after="120"/>
        <w:jc w:val="center"/>
      </w:pPr>
      <w:r>
        <w:rPr>
          <w:b/>
          <w:bCs/>
          <w:color w:val="191F28"/>
          <w:sz w:val="44"/>
          <w:szCs w:val="44"/>
        </w:rPr>
        <w:t xml:space="preserve">OCI 기반 Cloud 데이터 파이프라인 구축</w:t>
      </w:r>
    </w:p>
    <w:p>
      <w:pPr>
        <w:spacing w:after="400"/>
        <w:jc w:val="center"/>
      </w:pPr>
      <w:r>
        <w:rPr>
          <w:color w:val="4E5968"/>
          <w:sz w:val="26"/>
          <w:szCs w:val="26"/>
        </w:rPr>
        <w:t xml:space="preserve">Trust Score 임계값 최적화 및 시공간 혼잡도 패턴 분석</w:t>
      </w:r>
    </w:p>
    <w:p>
      <w:pPr>
        <w:spacing w:after="40"/>
        <w:jc w:val="center"/>
      </w:pPr>
      <w:r>
        <w:rPr>
          <w:color w:val="8B95A1"/>
          <w:sz w:val="21"/>
          <w:szCs w:val="21"/>
        </w:rPr>
        <w:t xml:space="preserve">Cloud 기반 데이터AI 파이프라인구축 — 최종 결과 보고서</w:t>
      </w:r>
    </w:p>
    <w:p>
      <w:pPr>
        <w:spacing w:after="40"/>
        <w:jc w:val="center"/>
      </w:pPr>
      <w:r>
        <w:rPr>
          <w:color w:val="8B95A1"/>
          <w:sz w:val="21"/>
          <w:szCs w:val="21"/>
        </w:rPr>
        <w:t xml:space="preserve">충북대학교 소프트웨어학과 · TaeHwa Kim</w:t>
      </w:r>
    </w:p>
    <w:p>
      <w:pPr>
        <w:spacing w:after="500"/>
        <w:jc w:val="center"/>
      </w:pPr>
      <w:r>
        <w:rPr>
          <w:color w:val="8B95A1"/>
          <w:sz w:val="21"/>
          <w:szCs w:val="21"/>
        </w:rPr>
        <w:t xml:space="preserve">2026. 07.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8DEE4" w:sz="1"/>
              <w:left w:val="single" w:color="D8DEE4" w:sz="1"/>
              <w:bottom w:val="single" w:color="D8DEE4" w:sz="1"/>
              <w:right w:val="single" w:color="D8DEE4" w:sz="1"/>
            </w:tcBorders>
            <w:tcMar>
              <w:top w:type="dxa" w:w="110"/>
              <w:left w:type="dxa" w:w="150"/>
              <w:bottom w:type="dxa" w:w="110"/>
              <w:right w:type="dxa" w:w="150"/>
            </w:tcMar>
          </w:tcPr>
          <w:p>
            <w:r>
              <w:rPr>
                <w:b/>
                <w:bCs/>
                <w:sz w:val="21"/>
                <w:szCs w:val="21"/>
              </w:rPr>
              <w:t xml:space="preserve">GitHub Repository</w:t>
            </w:r>
          </w:p>
        </w:tc>
        <w:tc>
          <w:tcPr>
            <w:tcW w:type="dxa" w:w="6240"/>
            <w:tcBorders>
              <w:top w:val="single" w:color="D8DEE4" w:sz="1"/>
              <w:left w:val="single" w:color="D8DEE4" w:sz="1"/>
              <w:bottom w:val="single" w:color="D8DEE4" w:sz="1"/>
              <w:right w:val="single" w:color="D8DEE4" w:sz="1"/>
            </w:tcBorders>
            <w:tcMar>
              <w:top w:type="dxa" w:w="110"/>
              <w:left w:type="dxa" w:w="150"/>
              <w:bottom w:type="dxa" w:w="110"/>
              <w:right w:type="dxa" w:w="150"/>
            </w:tcMar>
          </w:tcPr>
          <w:p>
            <w:r>
              <w:rPr>
                <w:b w:val="false"/>
                <w:bCs w:val="false"/>
                <w:sz w:val="21"/>
                <w:szCs w:val="21"/>
              </w:rPr>
              <w:t xml:space="preserve">https://github.com/CBNU-SWCapstone-B5-TJTS-now/data-pipeline</w:t>
            </w:r>
          </w:p>
        </w:tc>
      </w:tr>
      <w:tr>
        <w:tc>
          <w:tcPr>
            <w:tcW w:type="dxa" w:w="3120"/>
            <w:tcBorders>
              <w:top w:val="single" w:color="D8DEE4" w:sz="1"/>
              <w:left w:val="single" w:color="D8DEE4" w:sz="1"/>
              <w:bottom w:val="single" w:color="D8DEE4" w:sz="1"/>
              <w:right w:val="single" w:color="D8DEE4" w:sz="1"/>
            </w:tcBorders>
            <w:tcMar>
              <w:top w:type="dxa" w:w="110"/>
              <w:left w:type="dxa" w:w="150"/>
              <w:bottom w:type="dxa" w:w="110"/>
              <w:right w:type="dxa" w:w="150"/>
            </w:tcMar>
          </w:tcPr>
          <w:p>
            <w:r>
              <w:rPr>
                <w:b/>
                <w:bCs/>
                <w:sz w:val="21"/>
                <w:szCs w:val="21"/>
              </w:rPr>
              <w:t xml:space="preserve">배포 URL</w:t>
            </w:r>
          </w:p>
        </w:tc>
        <w:tc>
          <w:tcPr>
            <w:tcW w:type="dxa" w:w="6240"/>
            <w:tcBorders>
              <w:top w:val="single" w:color="D8DEE4" w:sz="1"/>
              <w:left w:val="single" w:color="D8DEE4" w:sz="1"/>
              <w:bottom w:val="single" w:color="D8DEE4" w:sz="1"/>
              <w:right w:val="single" w:color="D8DEE4" w:sz="1"/>
            </w:tcBorders>
            <w:tcMar>
              <w:top w:type="dxa" w:w="110"/>
              <w:left w:type="dxa" w:w="150"/>
              <w:bottom w:type="dxa" w:w="110"/>
              <w:right w:type="dxa" w:w="150"/>
            </w:tcMar>
          </w:tcPr>
          <w:p>
            <w:r>
              <w:rPr>
                <w:b w:val="false"/>
                <w:bCs w:val="false"/>
                <w:sz w:val="21"/>
                <w:szCs w:val="21"/>
              </w:rPr>
              <w:t xml:space="preserve">http://217.142.139.165  (OCI vm-03, nginx → Streamlit)</w:t>
            </w:r>
          </w:p>
        </w:tc>
      </w:tr>
      <w:tr>
        <w:tc>
          <w:tcPr>
            <w:tcW w:type="dxa" w:w="3120"/>
            <w:tcBorders>
              <w:top w:val="single" w:color="D8DEE4" w:sz="1"/>
              <w:left w:val="single" w:color="D8DEE4" w:sz="1"/>
              <w:bottom w:val="single" w:color="D8DEE4" w:sz="1"/>
              <w:right w:val="single" w:color="D8DEE4" w:sz="1"/>
            </w:tcBorders>
            <w:tcMar>
              <w:top w:type="dxa" w:w="110"/>
              <w:left w:type="dxa" w:w="150"/>
              <w:bottom w:type="dxa" w:w="110"/>
              <w:right w:type="dxa" w:w="150"/>
            </w:tcMar>
          </w:tcPr>
          <w:p>
            <w:r>
              <w:rPr>
                <w:b/>
                <w:bCs/>
                <w:sz w:val="21"/>
                <w:szCs w:val="21"/>
              </w:rPr>
              <w:t xml:space="preserve">연계 프로젝트</w:t>
            </w:r>
          </w:p>
        </w:tc>
        <w:tc>
          <w:tcPr>
            <w:tcW w:type="dxa" w:w="6240"/>
            <w:tcBorders>
              <w:top w:val="single" w:color="D8DEE4" w:sz="1"/>
              <w:left w:val="single" w:color="D8DEE4" w:sz="1"/>
              <w:bottom w:val="single" w:color="D8DEE4" w:sz="1"/>
              <w:right w:val="single" w:color="D8DEE4" w:sz="1"/>
            </w:tcBorders>
            <w:tcMar>
              <w:top w:type="dxa" w:w="110"/>
              <w:left w:type="dxa" w:w="150"/>
              <w:bottom w:type="dxa" w:w="110"/>
              <w:right w:type="dxa" w:w="150"/>
            </w:tcMar>
          </w:tcPr>
          <w:p>
            <w:r>
              <w:rPr>
                <w:b w:val="false"/>
                <w:bCs w:val="false"/>
                <w:sz w:val="21"/>
                <w:szCs w:val="21"/>
              </w:rPr>
              <w:t xml:space="preserve">CBNU SW캡스톤 졸업 프로젝트 “Nowhere” (Geofencing 기반 혼잡도 제보 앱)</w:t>
            </w:r>
          </w:p>
        </w:tc>
      </w:tr>
    </w:tbl>
    <w:p>
      <w:r>
        <w:br w:type="page"/>
      </w:r>
    </w:p>
    <w:p>
      <w:pPr>
        <w:pStyle w:val="Heading1"/>
      </w:pPr>
      <w:r>
        <w:t xml:space="preserve">프로젝트 개요</w:t>
      </w:r>
    </w:p>
    <w:p>
      <w:pPr>
        <w:spacing w:after="150"/>
      </w:pPr>
      <w:r>
        <w:rPr>
          <w:sz w:val="22"/>
          <w:szCs w:val="22"/>
        </w:rPr>
        <w:t xml:space="preserve">CBNU SW캡스톤 졸업 프로젝트 “Nowhere”는 Geofence로 현장 인증된 유저들의 동의·반대 투표를 바탕으로 제보자의 Trust Score를 조정하는 Peer Review 시스템을 갖추고 있다. 실제 서비스의 검증 흐름은 다음과 같다: 사용자 A가 혼잡도를 제보하면 지도에 즉시 반영되고, 근처의 다른 사용자 B·C·D가 장소 상세 화면에서 “맞아요/틀려요”로 검증하며, 이 변경 사항은 SSE(Server-Sent Events)로 접속 중인 모든 클라이언트에 실시간 브로드캐스트된다. 제보가 만료되면 서버가 배치로 제보자의 Trust Score를 자동 갱신한다.</w:t>
      </w:r>
    </w:p>
    <w:p>
      <w:pPr>
        <w:spacing w:after="150"/>
      </w:pPr>
      <w:r>
        <w:rPr>
          <w:sz w:val="22"/>
          <w:szCs w:val="22"/>
        </w:rPr>
        <w:t xml:space="preserve">그러나 서비스가 아직 런칭 전이라 실사용자 데이터가 없어, Trust Score의 반대(disagree) 임계값이 실제로 합리적인 값인지 검증할 근거가 없는 상태였다. 실제로 팀 내부 스펙 문서(peer-review-spec.md)도 v1.0(초안)에서 v1.2(구현 반영)까지 이 계산식을 두 차례 수정한 이력이 있어, 이 질문 자체가 팀이 계속 고민해 온 살아있는 문제임을 보여준다.</w:t>
      </w:r>
    </w:p>
    <w:p>
      <w:pPr>
        <w:spacing w:after="150"/>
      </w:pPr>
      <w:r>
        <w:rPr>
          <w:sz w:val="22"/>
          <w:szCs w:val="22"/>
        </w:rPr>
        <w:t xml:space="preserve">본 프로젝트는 이 공백을 데이터AI 파이프라인 방법론으로 채우는 것을 목표로 한다. 실제 백엔드 스키마와 정책을 기반으로 한 시뮬레이션 데이터를 OCI 인프라 위에 구축하고, 두 가지 트랙으로 분석을 수행했다.</w:t>
      </w:r>
    </w:p>
    <w:p>
      <w:pPr>
        <w:pStyle w:val="ListParagraph"/>
        <w:numPr>
          <w:ilvl w:val="0"/>
          <w:numId w:val="2"/>
        </w:numPr>
        <w:spacing w:after="70"/>
      </w:pPr>
      <w:r>
        <w:rPr>
          <w:sz w:val="22"/>
          <w:szCs w:val="22"/>
        </w:rPr>
        <w:t xml:space="preserve">트랙 A — Trust Score 임계값 최적화: 반대 임계값을 1~10까지 바꿔가며 실제 정확도와의 상관관계를 검증</w:t>
      </w:r>
    </w:p>
    <w:p>
      <w:pPr>
        <w:pStyle w:val="ListParagraph"/>
        <w:numPr>
          <w:ilvl w:val="0"/>
          <w:numId w:val="2"/>
        </w:numPr>
        <w:spacing w:after="70"/>
      </w:pPr>
      <w:r>
        <w:rPr>
          <w:sz w:val="22"/>
          <w:szCs w:val="22"/>
        </w:rPr>
        <w:t xml:space="preserve">트랙 B — 시공간 혼잡도 패턴 분석: 장소×시간대별 혼잡도 패턴과 기상청 공공데이터(날씨)를 결합 분석</w:t>
      </w:r>
    </w:p>
    <w:p>
      <w:pPr>
        <w:spacing w:after="150"/>
      </w:pPr>
      <w:r>
        <w:rPr>
          <w:sz w:val="22"/>
          <w:szCs w:val="22"/>
        </w:rPr>
        <w:t xml:space="preserve">전체 시스템은 아래와 같이 수집→저장→가공→제공의 4단계 파이프라인으로 구성되며, OCI Compute VM(vm-03), Block Volume, Object Storage, VCN을 활용해 구축했다.</w:t>
      </w:r>
    </w:p>
    <w:p>
      <w:pPr>
        <w:jc w:val="center"/>
      </w:pPr>
      <w:r>
        <w:drawing>
          <wp:inline distT="0" distB="0" distL="0" distR="0">
            <wp:extent cx="5334000" cy="340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409950"/>
                    </a:xfrm>
                    <a:prstGeom prst="rect">
                      <a:avLst/>
                    </a:prstGeom>
                  </pic:spPr>
                </pic:pic>
              </a:graphicData>
            </a:graphic>
          </wp:inline>
        </w:drawing>
      </w:r>
    </w:p>
    <w:p>
      <w:pPr>
        <w:spacing w:after="260"/>
        <w:jc w:val="center"/>
      </w:pPr>
      <w:r>
        <w:rPr>
          <w:i/>
          <w:iCs/>
          <w:color w:val="8B95A1"/>
          <w:sz w:val="19"/>
          <w:szCs w:val="19"/>
        </w:rPr>
        <w:t xml:space="preserve">그림 1. 전체 아키텍처 — 수집 → 저장 → 가공 → 제공</w:t>
      </w:r>
    </w:p>
    <w:p>
      <w:pPr>
        <w:pStyle w:val="Heading1"/>
      </w:pPr>
      <w:r>
        <w:t xml:space="preserve">1. 문제 정의 및 서비스 기획</w:t>
      </w:r>
      <w:r>
        <w:rPr>
          <w:b/>
          <w:bCs/>
          <w:color w:val="3182F6"/>
          <w:sz w:val="20"/>
          <w:szCs w:val="20"/>
        </w:rPr>
        <w:t xml:space="preserve">  (배점 10점)</w:t>
      </w:r>
    </w:p>
    <w:p>
      <w:pPr>
        <w:spacing w:after="150"/>
      </w:pPr>
      <w:r>
        <w:rPr>
          <w:sz w:val="22"/>
          <w:szCs w:val="22"/>
        </w:rPr>
        <w:t xml:space="preserve">Nowhere의 Peer Review 정책(“반대가 임계값 이상이면 감점”)은 팀이 최종발표에서 “추후 실제 사용자 데이터를 분석해 최적의 수치로 고도화하겠다”고 공언한 항목이다. 본 프로젝트는 그 로드맵을 서비스 런칭 전에 시뮬레이션으로 선제 검증한다는 명확한 문제의식에서 출발했다.</w:t>
      </w:r>
    </w:p>
    <w:p>
      <w:pPr>
        <w:spacing w:after="150"/>
      </w:pPr>
      <w:r>
        <w:rPr>
          <w:sz w:val="22"/>
          <w:szCs w:val="22"/>
        </w:rPr>
        <w:t xml:space="preserve">또한 백로그에 이미 계획되어 있던 관리자 대시보드(혼잡도 통계를 학교 측 자체 분석 목적으로 CSV 제공)의 선행 구현으로서, 시공간 혼잡도 패턴을 분석해 B2G(학교 행정실 대상) 리포트 제공 기반을 마련하는 것을 두 번째 목표로 삼았다.</w:t>
      </w:r>
    </w:p>
    <w:p>
      <w:pPr>
        <w:spacing w:after="150"/>
      </w:pPr>
      <w:r>
        <w:rPr>
          <w:sz w:val="22"/>
          <w:szCs w:val="22"/>
        </w:rPr>
        <w:t xml:space="preserve">데이터가 없는 콜드스타트 상황이라는 제약을 “합성 데이터로 파이프라인을 미리 검증하고, 런칭 후 실데이터로 재조정한다”는 명확한 전략으로 정면 돌파했다는 점이 본 프로젝트 기획의 핵심이다. 다만 정책 재조정은 상시 자동화 대상이 아니라, 실사용자 데이터가 일정 규모(예: 유저 100명·제보 1,000건) 이상 누적된 시점에 파이프라인을 실행하고 팀 내부 검토를 거쳐 패치로 반영하는 방식을 전제로 설계했다 — 서비스 내부 로직이 상시 변동되면 사용자 경험이 들쑥날쑥해지고 문제 발생 시 원인 추적도 어려워지기 때문이다.</w:t>
      </w:r>
    </w:p>
    <w:p>
      <w:pPr>
        <w:spacing w:after="150"/>
      </w:pPr>
      <w:r>
        <w:rPr>
          <w:sz w:val="22"/>
          <w:szCs w:val="22"/>
        </w:rPr>
        <w:t xml:space="preserve">서비스 확장 관점에서도 계획 단계의 고려사항을 반영했다. 졸업 프로젝트의 실서비스 백엔드는 AWS EC2 + Docker Compose(AWS RDS 기반)로 설계되어 있는 반면, 본 파이프라인은 학교 산학협력 사업단을 통해 자원을 확보하기 용이한 OCI 위에 구축했다. 두 클라우드가 분리되는 상황을 대비해, 운영 DB는 AWS에 유지하고 파이프라인은 주기적 스냅샷(데이터 덤프)만 받아 분석하는 구조를 향후 방향으로 설정했다 — 매 분석마다 크로스 클라우드로 실시간 쿼리를 보내면 네트워크 레이턴시와 AWS 데이터 이그레스 비용이 누적되기 때문이다. 이 구조는 6번 한계점의 컨테이너화 설계와도 연결된다.</w:t>
      </w:r>
    </w:p>
    <w:p>
      <w:pPr>
        <w:pStyle w:val="Heading1"/>
      </w:pPr>
      <w:r>
        <w:t xml:space="preserve">2. 인프라 설계 및 구축</w:t>
      </w:r>
      <w:r>
        <w:rPr>
          <w:b/>
          <w:bCs/>
          <w:color w:val="3182F6"/>
          <w:sz w:val="20"/>
          <w:szCs w:val="20"/>
        </w:rPr>
        <w:t xml:space="preserve">  (배점 20점)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8DEE4" w:sz="1"/>
              <w:left w:val="single" w:color="D8DEE4" w:sz="1"/>
              <w:bottom w:val="single" w:color="D8DEE4" w:sz="1"/>
              <w:right w:val="single" w:color="D8DEE4" w:sz="1"/>
            </w:tcBorders>
            <w:shd w:fill="191F28" w:val="clear"/>
            <w:tcMar>
              <w:top w:type="dxa" w:w="110"/>
              <w:left w:type="dxa" w:w="150"/>
              <w:bottom w:type="dxa" w:w="110"/>
              <w:right w:type="dxa" w:w="150"/>
            </w:tcMar>
          </w:tcPr>
          <w:p>
            <w:r>
              <w:rPr>
                <w:b/>
                <w:bCs/>
                <w:color w:val="FFFFFF"/>
                <w:sz w:val="21"/>
                <w:szCs w:val="21"/>
              </w:rPr>
              <w:t xml:space="preserve">리소스</w:t>
            </w:r>
          </w:p>
        </w:tc>
        <w:tc>
          <w:tcPr>
            <w:tcW w:type="dxa" w:w="6960"/>
            <w:tcBorders>
              <w:top w:val="single" w:color="D8DEE4" w:sz="1"/>
              <w:left w:val="single" w:color="D8DEE4" w:sz="1"/>
              <w:bottom w:val="single" w:color="D8DEE4" w:sz="1"/>
              <w:right w:val="single" w:color="D8DEE4" w:sz="1"/>
            </w:tcBorders>
            <w:shd w:fill="191F28" w:val="clear"/>
            <w:tcMar>
              <w:top w:type="dxa" w:w="110"/>
              <w:left w:type="dxa" w:w="150"/>
              <w:bottom w:type="dxa" w:w="110"/>
              <w:right w:type="dxa" w:w="150"/>
            </w:tcMar>
          </w:tcPr>
          <w:p>
            <w:r>
              <w:rPr>
                <w:b/>
                <w:bCs/>
                <w:color w:val="FFFFFF"/>
                <w:sz w:val="21"/>
                <w:szCs w:val="21"/>
              </w:rPr>
              <w:t xml:space="preserve">구성 내용</w:t>
            </w:r>
          </w:p>
        </w:tc>
      </w:tr>
      <w:tr>
        <w:tc>
          <w:tcPr>
            <w:tcW w:type="dxa" w:w="2400"/>
            <w:tcBorders>
              <w:top w:val="single" w:color="D8DEE4" w:sz="1"/>
              <w:left w:val="single" w:color="D8DEE4" w:sz="1"/>
              <w:bottom w:val="single" w:color="D8DEE4" w:sz="1"/>
              <w:right w:val="single" w:color="D8DEE4" w:sz="1"/>
            </w:tcBorders>
            <w:tcMar>
              <w:top w:type="dxa" w:w="110"/>
              <w:left w:type="dxa" w:w="150"/>
              <w:bottom w:type="dxa" w:w="110"/>
              <w:right w:type="dxa" w:w="150"/>
            </w:tcMar>
          </w:tcPr>
          <w:p>
            <w:r>
              <w:rPr>
                <w:b w:val="false"/>
                <w:bCs w:val="false"/>
                <w:sz w:val="21"/>
                <w:szCs w:val="21"/>
              </w:rPr>
              <w:t xml:space="preserve">Compute VM</w:t>
            </w:r>
          </w:p>
        </w:tc>
        <w:tc>
          <w:tcPr>
            <w:tcW w:type="dxa" w:w="6960"/>
            <w:tcBorders>
              <w:top w:val="single" w:color="D8DEE4" w:sz="1"/>
              <w:left w:val="single" w:color="D8DEE4" w:sz="1"/>
              <w:bottom w:val="single" w:color="D8DEE4" w:sz="1"/>
              <w:right w:val="single" w:color="D8DEE4" w:sz="1"/>
            </w:tcBorders>
            <w:tcMar>
              <w:top w:type="dxa" w:w="110"/>
              <w:left w:type="dxa" w:w="150"/>
              <w:bottom w:type="dxa" w:w="110"/>
              <w:right w:type="dxa" w:w="150"/>
            </w:tcMar>
          </w:tcPr>
          <w:p>
            <w:r>
              <w:rPr>
                <w:b w:val="false"/>
                <w:bCs w:val="false"/>
                <w:sz w:val="21"/>
                <w:szCs w:val="21"/>
              </w:rPr>
              <w:t xml:space="preserve">vm-03, Oracle Linux 8, 2 OCPU / 16GB RAM</w:t>
            </w:r>
          </w:p>
        </w:tc>
      </w:tr>
      <w:tr>
        <w:tc>
          <w:tcPr>
            <w:tcW w:type="dxa" w:w="2400"/>
            <w:tcBorders>
              <w:top w:val="single" w:color="D8DEE4" w:sz="1"/>
              <w:left w:val="single" w:color="D8DEE4" w:sz="1"/>
              <w:bottom w:val="single" w:color="D8DEE4" w:sz="1"/>
              <w:right w:val="single" w:color="D8DEE4" w:sz="1"/>
            </w:tcBorders>
            <w:tcMar>
              <w:top w:type="dxa" w:w="110"/>
              <w:left w:type="dxa" w:w="150"/>
              <w:bottom w:type="dxa" w:w="110"/>
              <w:right w:type="dxa" w:w="150"/>
            </w:tcMar>
          </w:tcPr>
          <w:p>
            <w:r>
              <w:rPr>
                <w:b w:val="false"/>
                <w:bCs w:val="false"/>
                <w:sz w:val="21"/>
                <w:szCs w:val="21"/>
              </w:rPr>
              <w:t xml:space="preserve">Block Volume</w:t>
            </w:r>
          </w:p>
        </w:tc>
        <w:tc>
          <w:tcPr>
            <w:tcW w:type="dxa" w:w="6960"/>
            <w:tcBorders>
              <w:top w:val="single" w:color="D8DEE4" w:sz="1"/>
              <w:left w:val="single" w:color="D8DEE4" w:sz="1"/>
              <w:bottom w:val="single" w:color="D8DEE4" w:sz="1"/>
              <w:right w:val="single" w:color="D8DEE4" w:sz="1"/>
            </w:tcBorders>
            <w:tcMar>
              <w:top w:type="dxa" w:w="110"/>
              <w:left w:type="dxa" w:w="150"/>
              <w:bottom w:type="dxa" w:w="110"/>
              <w:right w:type="dxa" w:w="150"/>
            </w:tcMar>
          </w:tcPr>
          <w:p>
            <w:r>
              <w:rPr>
                <w:b w:val="false"/>
                <w:bCs w:val="false"/>
                <w:sz w:val="21"/>
                <w:szCs w:val="21"/>
              </w:rPr>
              <w:t xml:space="preserve">PostgreSQL 데이터 디렉토리, 파이프라인 스크립트·로그 저장</w:t>
            </w:r>
          </w:p>
        </w:tc>
      </w:tr>
      <w:tr>
        <w:tc>
          <w:tcPr>
            <w:tcW w:type="dxa" w:w="2400"/>
            <w:tcBorders>
              <w:top w:val="single" w:color="D8DEE4" w:sz="1"/>
              <w:left w:val="single" w:color="D8DEE4" w:sz="1"/>
              <w:bottom w:val="single" w:color="D8DEE4" w:sz="1"/>
              <w:right w:val="single" w:color="D8DEE4" w:sz="1"/>
            </w:tcBorders>
            <w:tcMar>
              <w:top w:type="dxa" w:w="110"/>
              <w:left w:type="dxa" w:w="150"/>
              <w:bottom w:type="dxa" w:w="110"/>
              <w:right w:type="dxa" w:w="150"/>
            </w:tcMar>
          </w:tcPr>
          <w:p>
            <w:r>
              <w:rPr>
                <w:b w:val="false"/>
                <w:bCs w:val="false"/>
                <w:sz w:val="21"/>
                <w:szCs w:val="21"/>
              </w:rPr>
              <w:t xml:space="preserve">Object Storage</w:t>
            </w:r>
          </w:p>
        </w:tc>
        <w:tc>
          <w:tcPr>
            <w:tcW w:type="dxa" w:w="6960"/>
            <w:tcBorders>
              <w:top w:val="single" w:color="D8DEE4" w:sz="1"/>
              <w:left w:val="single" w:color="D8DEE4" w:sz="1"/>
              <w:bottom w:val="single" w:color="D8DEE4" w:sz="1"/>
              <w:right w:val="single" w:color="D8DEE4" w:sz="1"/>
            </w:tcBorders>
            <w:tcMar>
              <w:top w:type="dxa" w:w="110"/>
              <w:left w:type="dxa" w:w="150"/>
              <w:bottom w:type="dxa" w:w="110"/>
              <w:right w:type="dxa" w:w="150"/>
            </w:tcMar>
          </w:tcPr>
          <w:p>
            <w:r>
              <w:rPr>
                <w:b w:val="false"/>
                <w:bCs w:val="false"/>
                <w:sz w:val="21"/>
                <w:szCs w:val="21"/>
              </w:rPr>
              <w:t xml:space="preserve">nowhere-pipeline-data 버킷 — 시뮬레이션 원본 CSV 및 분석 결과 백업</w:t>
            </w:r>
          </w:p>
        </w:tc>
      </w:tr>
      <w:tr>
        <w:tc>
          <w:tcPr>
            <w:tcW w:type="dxa" w:w="2400"/>
            <w:tcBorders>
              <w:top w:val="single" w:color="D8DEE4" w:sz="1"/>
              <w:left w:val="single" w:color="D8DEE4" w:sz="1"/>
              <w:bottom w:val="single" w:color="D8DEE4" w:sz="1"/>
              <w:right w:val="single" w:color="D8DEE4" w:sz="1"/>
            </w:tcBorders>
            <w:tcMar>
              <w:top w:type="dxa" w:w="110"/>
              <w:left w:type="dxa" w:w="150"/>
              <w:bottom w:type="dxa" w:w="110"/>
              <w:right w:type="dxa" w:w="150"/>
            </w:tcMar>
          </w:tcPr>
          <w:p>
            <w:r>
              <w:rPr>
                <w:b w:val="false"/>
                <w:bCs w:val="false"/>
                <w:sz w:val="21"/>
                <w:szCs w:val="21"/>
              </w:rPr>
              <w:t xml:space="preserve">VCN / Security List</w:t>
            </w:r>
          </w:p>
        </w:tc>
        <w:tc>
          <w:tcPr>
            <w:tcW w:type="dxa" w:w="6960"/>
            <w:tcBorders>
              <w:top w:val="single" w:color="D8DEE4" w:sz="1"/>
              <w:left w:val="single" w:color="D8DEE4" w:sz="1"/>
              <w:bottom w:val="single" w:color="D8DEE4" w:sz="1"/>
              <w:right w:val="single" w:color="D8DEE4" w:sz="1"/>
            </w:tcBorders>
            <w:tcMar>
              <w:top w:type="dxa" w:w="110"/>
              <w:left w:type="dxa" w:w="150"/>
              <w:bottom w:type="dxa" w:w="110"/>
              <w:right w:type="dxa" w:w="150"/>
            </w:tcMar>
          </w:tcPr>
          <w:p>
            <w:r>
              <w:rPr>
                <w:b w:val="false"/>
                <w:bCs w:val="false"/>
                <w:sz w:val="21"/>
                <w:szCs w:val="21"/>
              </w:rPr>
              <w:t xml:space="preserve">5432(PostgreSQL), 80(nginx) 인바운드 허용</w:t>
            </w:r>
          </w:p>
        </w:tc>
      </w:tr>
      <w:tr>
        <w:tc>
          <w:tcPr>
            <w:tcW w:type="dxa" w:w="2400"/>
            <w:tcBorders>
              <w:top w:val="single" w:color="D8DEE4" w:sz="1"/>
              <w:left w:val="single" w:color="D8DEE4" w:sz="1"/>
              <w:bottom w:val="single" w:color="D8DEE4" w:sz="1"/>
              <w:right w:val="single" w:color="D8DEE4" w:sz="1"/>
            </w:tcBorders>
            <w:tcMar>
              <w:top w:type="dxa" w:w="110"/>
              <w:left w:type="dxa" w:w="150"/>
              <w:bottom w:type="dxa" w:w="110"/>
              <w:right w:type="dxa" w:w="150"/>
            </w:tcMar>
          </w:tcPr>
          <w:p>
            <w:r>
              <w:rPr>
                <w:b w:val="false"/>
                <w:bCs w:val="false"/>
                <w:sz w:val="21"/>
                <w:szCs w:val="21"/>
              </w:rPr>
              <w:t xml:space="preserve">DB</w:t>
            </w:r>
          </w:p>
        </w:tc>
        <w:tc>
          <w:tcPr>
            <w:tcW w:type="dxa" w:w="6960"/>
            <w:tcBorders>
              <w:top w:val="single" w:color="D8DEE4" w:sz="1"/>
              <w:left w:val="single" w:color="D8DEE4" w:sz="1"/>
              <w:bottom w:val="single" w:color="D8DEE4" w:sz="1"/>
              <w:right w:val="single" w:color="D8DEE4" w:sz="1"/>
            </w:tcBorders>
            <w:tcMar>
              <w:top w:type="dxa" w:w="110"/>
              <w:left w:type="dxa" w:w="150"/>
              <w:bottom w:type="dxa" w:w="110"/>
              <w:right w:type="dxa" w:w="150"/>
            </w:tcMar>
          </w:tcPr>
          <w:p>
            <w:r>
              <w:rPr>
                <w:b w:val="false"/>
                <w:bCs w:val="false"/>
                <w:sz w:val="21"/>
                <w:szCs w:val="21"/>
              </w:rPr>
              <w:t xml:space="preserve">PostgreSQL 16 + PostGIS 3.3.10 (crowd_pipeline DB, crowd_app 전용 계정)</w:t>
            </w:r>
          </w:p>
        </w:tc>
      </w:tr>
    </w:tbl>
    <w:p>
      <w:pPr>
        <w:spacing w:after="200"/>
      </w:pPr>
    </w:p>
    <w:p>
      <w:pPr>
        <w:spacing w:after="150"/>
      </w:pPr>
      <w:r>
        <w:rPr>
          <w:sz w:val="22"/>
          <w:szCs w:val="22"/>
        </w:rPr>
        <w:t xml:space="preserve">PostGIS 설치 과정에서 PostgreSQL 16과 호환되는 GDAL·Apache Arrow 의존성 문제가 발생했으나, EPEL·CodeReady Builder(CRB) 저장소를 활성화하고 PostGIS 3.3.10 버전으로 안정화하여 해결했다. 외부 접속은 OCI VCN Security List와 vm-03 내부 firewalld를 이중으로 설정해 확보했다.</w:t>
      </w:r>
    </w:p>
    <w:p>
      <w:pPr>
        <w:pStyle w:val="Heading1"/>
      </w:pPr>
      <w:r>
        <w:t xml:space="preserve">3. 데이터 수집 구현</w:t>
      </w:r>
      <w:r>
        <w:rPr>
          <w:b/>
          <w:bCs/>
          <w:color w:val="3182F6"/>
          <w:sz w:val="20"/>
          <w:szCs w:val="20"/>
        </w:rPr>
        <w:t xml:space="preserve">  (배점 15점)</w:t>
      </w:r>
    </w:p>
    <w:p>
      <w:pPr>
        <w:pStyle w:val="Heading2"/>
      </w:pPr>
      <w:r>
        <w:t xml:space="preserve">3-1. 시뮬레이션 데이터 생성</w:t>
      </w:r>
    </w:p>
    <w:p>
      <w:pPr>
        <w:spacing w:after="150"/>
      </w:pPr>
      <w:r>
        <w:rPr>
          <w:sz w:val="22"/>
          <w:szCs w:val="22"/>
        </w:rPr>
        <w:t xml:space="preserve">실서비스와 동일한 스키마(User/Report/Vote)를 기준으로, 유저 200명(성실 유저 85% · 어뷰징성 유저 15%), 제보 800건, 투표 약 4,700건을 확률분포 기반으로 생성했다. 각 유저에게는 실제로는 관측 불가능한 “숨겨진 실제 정확도(true_accuracy)”를 부여해, Trust Score 계산 결과가 이 정답값을 얼마나 잘 예측하는지 검증할 수 있도록 설계했다.</w:t>
      </w:r>
    </w:p>
    <w:p>
      <w:pPr>
        <w:pStyle w:val="Heading2"/>
      </w:pPr>
      <w:r>
        <w:t xml:space="preserve">3-2. 실시간 공공데이터 API 연동</w:t>
      </w:r>
    </w:p>
    <w:p>
      <w:pPr>
        <w:spacing w:after="150"/>
      </w:pPr>
      <w:r>
        <w:rPr>
          <w:sz w:val="22"/>
          <w:szCs w:val="22"/>
        </w:rPr>
        <w:t xml:space="preserve">기상청 공공데이터포털(data.go.kr)의 초단기실황조회 API를 연동하여, 청주 격자좌표(nx=69, ny=90) 기준 기온·습도·강수 데이터를 매시간 자동 수집한다. cron으로 스케줄링되어 있어 사람의 개입 없이 지속적으로 데이터가 누적된다.</w:t>
      </w:r>
    </w:p>
    <w:p>
      <w:pPr>
        <w:spacing w:after="150"/>
      </w:pPr>
      <w:r>
        <w:rPr>
          <w:sz w:val="22"/>
          <w:szCs w:val="22"/>
        </w:rPr>
        <w:t xml:space="preserve">두 수집 경로 모두 예외 처리(장소 미존재, API 타임아웃 등)를 포함하며, 특히 기상청 API의 간헐적 네트워크 타임아웃은 재시도 로직과 타임아웃 상향으로 대응했다.</w:t>
      </w:r>
    </w:p>
    <w:p>
      <w:pPr>
        <w:pStyle w:val="Heading1"/>
      </w:pPr>
      <w:r>
        <w:t xml:space="preserve">4. 데이터 저장 설계</w:t>
      </w:r>
      <w:r>
        <w:rPr>
          <w:b/>
          <w:bCs/>
          <w:color w:val="3182F6"/>
          <w:sz w:val="20"/>
          <w:szCs w:val="20"/>
        </w:rPr>
        <w:t xml:space="preserve">  (배점 15점)</w:t>
      </w:r>
    </w:p>
    <w:p>
      <w:pPr>
        <w:spacing w:after="150"/>
      </w:pPr>
      <w:r>
        <w:rPr>
          <w:sz w:val="22"/>
          <w:szCs w:val="22"/>
        </w:rPr>
        <w:t xml:space="preserve">정형 데이터는 PostgreSQL + PostGIS에 저장한다. 일반 RDB 대신 PostGIS를 선택한 이유는, Geofencing이 핵심인 서비스 특성상 위경도 좌표 기반의 공간 연산(ST_DWithin 등)이 반복적으로 필요하기 때문이다. 실제로 장소 카테고리에 따라 geofence 반경이 다른데(SCHOOL 100m / CAFE 80m), 이는 이미 백엔드 코드에 구현된 정책으로, 시뮬레이션에도 동일하게 반영했다.</w:t>
      </w:r>
    </w:p>
    <w:p>
      <w:pPr>
        <w:spacing w:after="150"/>
      </w:pPr>
      <w:r>
        <w:rPr>
          <w:sz w:val="22"/>
          <w:szCs w:val="22"/>
        </w:rPr>
        <w:t xml:space="preserve">Block Volume에는 CSV 원본 및 로그가, Object Storage에는 분석 결과 백업이 저장되어 저장소 특성에 맞는 배치를 적용했다. 공간 인덱스(GIST)를 적용해 반복적인 지오펜스 조회 성능을 확보했다.</w:t>
      </w:r>
    </w:p>
    <w:p>
      <w:pPr>
        <w:pStyle w:val="Heading1"/>
      </w:pPr>
      <w:r>
        <w:t xml:space="preserve">5. 데이터 가공 구현</w:t>
      </w:r>
      <w:r>
        <w:rPr>
          <w:b/>
          <w:bCs/>
          <w:color w:val="3182F6"/>
          <w:sz w:val="20"/>
          <w:szCs w:val="20"/>
        </w:rPr>
        <w:t xml:space="preserve">  (배점 15점)</w:t>
      </w:r>
    </w:p>
    <w:p>
      <w:pPr>
        <w:pStyle w:val="Heading2"/>
      </w:pPr>
      <w:r>
        <w:t xml:space="preserve">5-1. 트랙 A — Trust Score 임계값 분석 결과</w:t>
      </w:r>
    </w:p>
    <w:p>
      <w:pPr>
        <w:spacing w:after="150"/>
      </w:pPr>
      <w:r>
        <w:rPr>
          <w:sz w:val="22"/>
          <w:szCs w:val="22"/>
        </w:rPr>
        <w:t xml:space="preserve">반대 임계값을 1~10까지 바꿔가며 Trust Score와 실제 정확도(true_accuracy)의 피어슨 상관계수를 계산했다. 단일 시뮬레이션 결과의 우연성을 배제하기 위해 서로 다른 랜덤 시드로 10회 반복 실행하여 안정성을 검증했다.</w:t>
      </w:r>
    </w:p>
    <w:p>
      <w:pPr>
        <w:jc w:val="center"/>
      </w:pPr>
      <w:r>
        <w:drawing>
          <wp:inline distT="0" distB="0" distL="0" distR="0">
            <wp:extent cx="5334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048000"/>
                    </a:xfrm>
                    <a:prstGeom prst="rect">
                      <a:avLst/>
                    </a:prstGeom>
                  </pic:spPr>
                </pic:pic>
              </a:graphicData>
            </a:graphic>
          </wp:inline>
        </w:drawing>
      </w:r>
    </w:p>
    <w:p>
      <w:pPr>
        <w:spacing w:after="260"/>
        <w:jc w:val="center"/>
      </w:pPr>
      <w:r>
        <w:rPr>
          <w:i/>
          <w:iCs/>
          <w:color w:val="8B95A1"/>
          <w:sz w:val="19"/>
          <w:szCs w:val="19"/>
        </w:rPr>
        <w:t xml:space="preserve">그림 2. 트랙 A 대시보드 — 임계값별 평균 상관계수</w:t>
      </w:r>
    </w:p>
    <w:p>
      <w:pPr>
        <w:spacing w:after="150"/>
      </w:pPr>
      <w:r>
        <w:rPr>
          <w:sz w:val="22"/>
          <w:szCs w:val="22"/>
        </w:rPr>
        <w:t xml:space="preserve">결과: 임계값 1이 10회 시드 전부에서 1위를 기록했으며(평균 상관계수 0.420), 현재 정책값인 3(0.304)보다 유의하게 높은 성능을 보였다. 임계값이 커질수록 상관계수가 단조 감소하는 경향이 확인되어, “더 엄격한 기준일수록 정확한 제보자를 잘 구별한다”는 결론을 도출했다.</w:t>
      </w:r>
    </w:p>
    <w:p>
      <w:pPr>
        <w:pStyle w:val="Heading2"/>
      </w:pPr>
      <w:r>
        <w:t xml:space="preserve">5-2. 트랙 B — 시공간 혼잡도 패턴 분석 결과</w:t>
      </w:r>
    </w:p>
    <w:p>
      <w:pPr>
        <w:spacing w:after="150"/>
      </w:pPr>
      <w:r>
        <w:rPr>
          <w:sz w:val="22"/>
          <w:szCs w:val="22"/>
        </w:rPr>
        <w:t xml:space="preserve">PostGIS의 ST_DWithin으로 실제 geofence 반경(80~100m) 내 제보만 필터링(800건 중 719건 통과)한 뒤, 장소×요일×시간대로 집계하고 기상청 관측 데이터를 시간 단위로 조인했다.</w:t>
      </w:r>
    </w:p>
    <w:p>
      <w:pPr>
        <w:jc w:val="center"/>
      </w:pPr>
      <w:r>
        <w:drawing>
          <wp:inline distT="0" distB="0" distL="0" distR="0">
            <wp:extent cx="5334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476500"/>
                    </a:xfrm>
                    <a:prstGeom prst="rect">
                      <a:avLst/>
                    </a:prstGeom>
                  </pic:spPr>
                </pic:pic>
              </a:graphicData>
            </a:graphic>
          </wp:inline>
        </w:drawing>
      </w:r>
    </w:p>
    <w:p>
      <w:pPr>
        <w:spacing w:after="260"/>
        <w:jc w:val="center"/>
      </w:pPr>
      <w:r>
        <w:rPr>
          <w:i/>
          <w:iCs/>
          <w:color w:val="8B95A1"/>
          <w:sz w:val="19"/>
          <w:szCs w:val="19"/>
        </w:rPr>
        <w:t xml:space="preserve">그림 3. 트랙 B 히트맵 — 장소×시간대별 평균 혼잡도</w:t>
      </w:r>
    </w:p>
    <w:p>
      <w:pPr>
        <w:spacing w:after="150"/>
      </w:pPr>
      <w:r>
        <w:rPr>
          <w:sz w:val="22"/>
          <w:szCs w:val="22"/>
        </w:rPr>
        <w:t xml:space="preserve">결과: 점심시간(12~13시)과 저녁시간(18~19시)에 공통적으로 혼잡도 피크가 관찰되었으며, 한빛식당(학식)의 전반적 혼잡도가 가장 높게 나타났다.</w:t>
      </w:r>
    </w:p>
    <w:p>
      <w:pPr>
        <w:jc w:val="center"/>
      </w:pPr>
      <w:r>
        <w:drawing>
          <wp:inline distT="0" distB="0" distL="0" distR="0">
            <wp:extent cx="4572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476500"/>
                    </a:xfrm>
                    <a:prstGeom prst="rect">
                      <a:avLst/>
                    </a:prstGeom>
                  </pic:spPr>
                </pic:pic>
              </a:graphicData>
            </a:graphic>
          </wp:inline>
        </w:drawing>
      </w:r>
    </w:p>
    <w:p>
      <w:pPr>
        <w:spacing w:after="260"/>
        <w:jc w:val="center"/>
      </w:pPr>
      <w:r>
        <w:rPr>
          <w:i/>
          <w:iCs/>
          <w:color w:val="8B95A1"/>
          <w:sz w:val="19"/>
          <w:szCs w:val="19"/>
        </w:rPr>
        <w:t xml:space="preserve">그림 4. 실제 캠퍼스 좌표 기반 장소별 지도 (folium)</w:t>
      </w:r>
    </w:p>
    <w:p>
      <w:pPr>
        <w:pStyle w:val="Heading1"/>
      </w:pPr>
      <w:r>
        <w:t xml:space="preserve">6. 서비스 제공 (API/웹)</w:t>
      </w:r>
      <w:r>
        <w:rPr>
          <w:b/>
          <w:bCs/>
          <w:color w:val="3182F6"/>
          <w:sz w:val="20"/>
          <w:szCs w:val="20"/>
        </w:rPr>
        <w:t xml:space="preserve">  (배점 15점)</w:t>
      </w:r>
    </w:p>
    <w:p>
      <w:pPr>
        <w:spacing w:after="150"/>
      </w:pPr>
      <w:r>
        <w:rPr>
          <w:sz w:val="22"/>
          <w:szCs w:val="22"/>
        </w:rPr>
        <w:t xml:space="preserve">가공된 데이터는 Streamlit 기반 웹 대시보드로 제공되며, nginx 리버스 프록시를 통해 외부에서 접근 가능하다(http://217.142.139.165). 대시보드는 트랙 A, 트랙 B, 프로젝트 개요 3개 탭으로 구성되어 있으며, 핵심 지표를 큰 숫자로 강조하고 각 결과의 의미를 설명하는 문장을 함께 배치해 비전문가도 결과를 이해할 수 있도록 설계했다.</w:t>
      </w:r>
    </w:p>
    <w:p>
      <w:pPr>
        <w:jc w:val="center"/>
      </w:pPr>
      <w:r>
        <w:drawing>
          <wp:inline distT="0" distB="0" distL="0" distR="0">
            <wp:extent cx="4953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1905000"/>
                    </a:xfrm>
                    <a:prstGeom prst="rect">
                      <a:avLst/>
                    </a:prstGeom>
                  </pic:spPr>
                </pic:pic>
              </a:graphicData>
            </a:graphic>
          </wp:inline>
        </w:drawing>
      </w:r>
    </w:p>
    <w:p>
      <w:pPr>
        <w:spacing w:after="260"/>
        <w:jc w:val="center"/>
      </w:pPr>
      <w:r>
        <w:rPr>
          <w:i/>
          <w:iCs/>
          <w:color w:val="8B95A1"/>
          <w:sz w:val="19"/>
          <w:szCs w:val="19"/>
        </w:rPr>
        <w:t xml:space="preserve">그림 5. 기상청 공공데이터 수집 현황 (cron 자동 수집)</w:t>
      </w:r>
    </w:p>
    <w:p>
      <w:pPr>
        <w:pStyle w:val="Heading1"/>
      </w:pPr>
      <w:r>
        <w:t xml:space="preserve">7. 문서화</w:t>
      </w:r>
      <w:r>
        <w:rPr>
          <w:b/>
          <w:bCs/>
          <w:color w:val="3182F6"/>
          <w:sz w:val="20"/>
          <w:szCs w:val="20"/>
        </w:rPr>
        <w:t xml:space="preserve">  (배점 10점)</w:t>
      </w:r>
    </w:p>
    <w:p>
      <w:pPr>
        <w:spacing w:after="150"/>
      </w:pPr>
      <w:r>
        <w:rPr>
          <w:sz w:val="22"/>
          <w:szCs w:val="22"/>
        </w:rPr>
        <w:t xml:space="preserve">GitHub 공개 저장소에 README(서비스 소개·아키텍처·설치 및 실행 방법·데이터 흐름·한계점), 워크플로우 다이어그램, 실행 화면 캡처, 전체 소스코드를 정리해 두었다. 설치 가이드는 실제 vm-03 배포 스키마를 기준으로 작성해 재현 가능성을 확보했다.</w:t>
      </w:r>
    </w:p>
    <w:p>
      <w:pPr>
        <w:spacing w:after="150"/>
      </w:pPr>
      <w:r>
        <w:rPr>
          <w:sz w:val="22"/>
          <w:szCs w:val="22"/>
        </w:rPr>
        <w:t xml:space="preserve">본 문서는 위 코드 저장소의 내용을 평가 기준 순서에 맞추어 재구성한 보고서이며, 세부 구현 코드와 커밋 이력은 저장소에서 확인할 수 있다.</w:t>
      </w:r>
    </w:p>
    <w:p>
      <w:pPr>
        <w:pStyle w:val="Heading1"/>
      </w:pPr>
      <w:r>
        <w:t xml:space="preserve">한계점 및 향후 개선 방향</w:t>
      </w:r>
    </w:p>
    <w:p>
      <w:pPr>
        <w:pStyle w:val="ListParagraph"/>
        <w:numPr>
          <w:ilvl w:val="0"/>
          <w:numId w:val="2"/>
        </w:numPr>
        <w:spacing w:after="70"/>
      </w:pPr>
      <w:r>
        <w:rPr>
          <w:sz w:val="22"/>
          <w:szCs w:val="22"/>
        </w:rPr>
        <w:t xml:space="preserve">합성 데이터 기반: 서비스 런칭 전이라 실사용자 데이터가 없어 시뮬레이션으로 대체함. 런칭 후 동일 파이프라인에 실데이터를 흘려보내 정책을 재조정(recalibration)할 예정</w:t>
      </w:r>
    </w:p>
    <w:p>
      <w:pPr>
        <w:pStyle w:val="ListParagraph"/>
        <w:numPr>
          <w:ilvl w:val="0"/>
          <w:numId w:val="2"/>
        </w:numPr>
        <w:spacing w:after="70"/>
      </w:pPr>
      <w:r>
        <w:rPr>
          <w:sz w:val="22"/>
          <w:szCs w:val="22"/>
        </w:rPr>
        <w:t xml:space="preserve">혼잡도 표현 단순화: 실제 서비스의 혼잡도는 LOW/MEDIUM/HIGH 3단계 카테고리이나, 본 시뮬레이션은 통계 분석의 편의를 위해 1~5 척도로 근사했다. 팀 내부 스펙 문서와 대조해 확인한 차이이며, 향후 재시뮬레이션 시 카테고리 체계를 그대로 반영할 예정</w:t>
      </w:r>
    </w:p>
    <w:p>
      <w:pPr>
        <w:pStyle w:val="ListParagraph"/>
        <w:numPr>
          <w:ilvl w:val="0"/>
          <w:numId w:val="2"/>
        </w:numPr>
        <w:spacing w:after="70"/>
      </w:pPr>
      <w:r>
        <w:rPr>
          <w:sz w:val="22"/>
          <w:szCs w:val="22"/>
        </w:rPr>
        <w:t xml:space="preserve">Trust Score 파라미터의 시점 차이: 본 시뮬레이션은 팀이 논의 중인 확장 설계(기본점수 50·만점 100·동의 반영 +1)를 기준으로 하며, 이는 현재 배포된 코드(기본값 0·동의 미반영)와 다르다. 두 값 모두 팀 내부적으로 검토된 사항이며, 본 프로젝트는 팀이 지향하는 다음 단계 설계를 검증 대상으로 삼았다</w:t>
      </w:r>
    </w:p>
    <w:p>
      <w:pPr>
        <w:pStyle w:val="ListParagraph"/>
        <w:numPr>
          <w:ilvl w:val="0"/>
          <w:numId w:val="2"/>
        </w:numPr>
        <w:spacing w:after="70"/>
      </w:pPr>
      <w:r>
        <w:rPr>
          <w:sz w:val="22"/>
          <w:szCs w:val="22"/>
        </w:rPr>
        <w:t xml:space="preserve">가중치 알고리즘 미구현: “고신뢰 유저 제보에 더 큰 영향력을 부여”하는 가중 투표 알고리즘은 본 프로젝트 범위를 벗어나며, 시뮬레이션 근거 제시까지만 다룸</w:t>
      </w:r>
    </w:p>
    <w:p>
      <w:pPr>
        <w:pStyle w:val="ListParagraph"/>
        <w:numPr>
          <w:ilvl w:val="0"/>
          <w:numId w:val="2"/>
        </w:numPr>
        <w:spacing w:after="70"/>
      </w:pPr>
      <w:r>
        <w:rPr>
          <w:sz w:val="22"/>
          <w:szCs w:val="22"/>
        </w:rPr>
        <w:t xml:space="preserve">공간별 차등 임계점: 현재는 전역 단일 임계값을 검증했으나, geofence 반경이 이미 장소 카테고리별로 차등 적용된 것처럼, 향후 장소별로 다른 Trust Score 임계값을 적용하는 방안을 검토할 수 있음</w:t>
      </w:r>
    </w:p>
    <w:p>
      <w:pPr>
        <w:pStyle w:val="ListParagraph"/>
        <w:numPr>
          <w:ilvl w:val="0"/>
          <w:numId w:val="2"/>
        </w:numPr>
        <w:spacing w:after="70"/>
      </w:pPr>
      <w:r>
        <w:rPr>
          <w:sz w:val="22"/>
          <w:szCs w:val="22"/>
        </w:rPr>
        <w:t xml:space="preserve">날씨-혼잡도 상관관계: 수집 기간이 짧아 통계적으로 유의미한 분석에는 한계가 있으며, 장기 수집 시 더 신뢰도 높은 분석이 가능할 것으로 예상</w:t>
      </w:r>
    </w:p>
    <w:p>
      <w:pPr>
        <w:pStyle w:val="ListParagraph"/>
        <w:numPr>
          <w:ilvl w:val="0"/>
          <w:numId w:val="2"/>
        </w:numPr>
        <w:spacing w:after="70"/>
      </w:pPr>
      <w:r>
        <w:rPr>
          <w:sz w:val="22"/>
          <w:szCs w:val="22"/>
        </w:rPr>
        <w:t xml:space="preserve">이식성: 향후 실사용자 환경 이전을 대비해 Docker Compose 기반 컨테이너화 설계를 별도로 마련해 저장소에 포함함 (설계 수준, 실제 동작 검증 미수행). 실서비스가 AWS, 파이프라인이 OCI로 클라우드가 분리될 경우를 대비해 주기적 데이터 스냅샷 기반 분석 구조를 향후 방향으로 설정함</w:t>
      </w:r>
    </w:p>
    <w:p>
      <w:pPr>
        <w:pStyle w:val="Heading1"/>
      </w:pPr>
      <w:r>
        <w:t xml:space="preserve">부록 — 실행 방법 및 참고 링크</w:t>
      </w:r>
    </w:p>
    <w:p>
      <w:pPr>
        <w:spacing w:after="150"/>
      </w:pPr>
      <w:r>
        <w:rPr>
          <w:sz w:val="22"/>
          <w:szCs w:val="22"/>
        </w:rPr>
        <w:t xml:space="preserve">아래 저장소 README에 전체 설치·실행 절차가 명시되어 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8DEE4" w:sz="1"/>
              <w:left w:val="single" w:color="D8DEE4" w:sz="1"/>
              <w:bottom w:val="single" w:color="D8DEE4" w:sz="1"/>
              <w:right w:val="single" w:color="D8DEE4" w:sz="1"/>
            </w:tcBorders>
            <w:tcMar>
              <w:top w:type="dxa" w:w="110"/>
              <w:left w:type="dxa" w:w="150"/>
              <w:bottom w:type="dxa" w:w="110"/>
              <w:right w:type="dxa" w:w="150"/>
            </w:tcMar>
          </w:tcPr>
          <w:p>
            <w:r>
              <w:rPr>
                <w:b/>
                <w:bCs/>
                <w:sz w:val="21"/>
                <w:szCs w:val="21"/>
              </w:rPr>
              <w:t xml:space="preserve">GitHub Repository</w:t>
            </w:r>
          </w:p>
        </w:tc>
        <w:tc>
          <w:tcPr>
            <w:tcW w:type="dxa" w:w="6960"/>
            <w:tcBorders>
              <w:top w:val="single" w:color="D8DEE4" w:sz="1"/>
              <w:left w:val="single" w:color="D8DEE4" w:sz="1"/>
              <w:bottom w:val="single" w:color="D8DEE4" w:sz="1"/>
              <w:right w:val="single" w:color="D8DEE4" w:sz="1"/>
            </w:tcBorders>
            <w:tcMar>
              <w:top w:type="dxa" w:w="110"/>
              <w:left w:type="dxa" w:w="150"/>
              <w:bottom w:type="dxa" w:w="110"/>
              <w:right w:type="dxa" w:w="150"/>
            </w:tcMar>
          </w:tcPr>
          <w:p>
            <w:r>
              <w:rPr>
                <w:b w:val="false"/>
                <w:bCs w:val="false"/>
                <w:sz w:val="21"/>
                <w:szCs w:val="21"/>
              </w:rPr>
              <w:t xml:space="preserve">https://github.com/CBNU-SWCapstone-B5-TJTS-now/data-pipeline</w:t>
            </w:r>
          </w:p>
        </w:tc>
      </w:tr>
      <w:tr>
        <w:tc>
          <w:tcPr>
            <w:tcW w:type="dxa" w:w="2400"/>
            <w:tcBorders>
              <w:top w:val="single" w:color="D8DEE4" w:sz="1"/>
              <w:left w:val="single" w:color="D8DEE4" w:sz="1"/>
              <w:bottom w:val="single" w:color="D8DEE4" w:sz="1"/>
              <w:right w:val="single" w:color="D8DEE4" w:sz="1"/>
            </w:tcBorders>
            <w:tcMar>
              <w:top w:type="dxa" w:w="110"/>
              <w:left w:type="dxa" w:w="150"/>
              <w:bottom w:type="dxa" w:w="110"/>
              <w:right w:type="dxa" w:w="150"/>
            </w:tcMar>
          </w:tcPr>
          <w:p>
            <w:r>
              <w:rPr>
                <w:b/>
                <w:bCs/>
                <w:sz w:val="21"/>
                <w:szCs w:val="21"/>
              </w:rPr>
              <w:t xml:space="preserve">배포 URL</w:t>
            </w:r>
          </w:p>
        </w:tc>
        <w:tc>
          <w:tcPr>
            <w:tcW w:type="dxa" w:w="6960"/>
            <w:tcBorders>
              <w:top w:val="single" w:color="D8DEE4" w:sz="1"/>
              <w:left w:val="single" w:color="D8DEE4" w:sz="1"/>
              <w:bottom w:val="single" w:color="D8DEE4" w:sz="1"/>
              <w:right w:val="single" w:color="D8DEE4" w:sz="1"/>
            </w:tcBorders>
            <w:tcMar>
              <w:top w:type="dxa" w:w="110"/>
              <w:left w:type="dxa" w:w="150"/>
              <w:bottom w:type="dxa" w:w="110"/>
              <w:right w:type="dxa" w:w="150"/>
            </w:tcMar>
          </w:tcPr>
          <w:p>
            <w:r>
              <w:rPr>
                <w:b w:val="false"/>
                <w:bCs w:val="false"/>
                <w:sz w:val="21"/>
                <w:szCs w:val="21"/>
              </w:rPr>
              <w:t xml:space="preserve">http://217.142.139.165</w:t>
            </w:r>
          </w:p>
        </w:tc>
      </w:tr>
      <w:tr>
        <w:tc>
          <w:tcPr>
            <w:tcW w:type="dxa" w:w="2400"/>
            <w:tcBorders>
              <w:top w:val="single" w:color="D8DEE4" w:sz="1"/>
              <w:left w:val="single" w:color="D8DEE4" w:sz="1"/>
              <w:bottom w:val="single" w:color="D8DEE4" w:sz="1"/>
              <w:right w:val="single" w:color="D8DEE4" w:sz="1"/>
            </w:tcBorders>
            <w:tcMar>
              <w:top w:type="dxa" w:w="110"/>
              <w:left w:type="dxa" w:w="150"/>
              <w:bottom w:type="dxa" w:w="110"/>
              <w:right w:type="dxa" w:w="150"/>
            </w:tcMar>
          </w:tcPr>
          <w:p>
            <w:r>
              <w:rPr>
                <w:b/>
                <w:bCs/>
                <w:sz w:val="21"/>
                <w:szCs w:val="21"/>
              </w:rPr>
              <w:t xml:space="preserve">연계 저장소</w:t>
            </w:r>
          </w:p>
        </w:tc>
        <w:tc>
          <w:tcPr>
            <w:tcW w:type="dxa" w:w="6960"/>
            <w:tcBorders>
              <w:top w:val="single" w:color="D8DEE4" w:sz="1"/>
              <w:left w:val="single" w:color="D8DEE4" w:sz="1"/>
              <w:bottom w:val="single" w:color="D8DEE4" w:sz="1"/>
              <w:right w:val="single" w:color="D8DEE4" w:sz="1"/>
            </w:tcBorders>
            <w:tcMar>
              <w:top w:type="dxa" w:w="110"/>
              <w:left w:type="dxa" w:w="150"/>
              <w:bottom w:type="dxa" w:w="110"/>
              <w:right w:type="dxa" w:w="150"/>
            </w:tcMar>
          </w:tcPr>
          <w:p>
            <w:r>
              <w:rPr>
                <w:b w:val="false"/>
                <w:bCs w:val="false"/>
                <w:sz w:val="21"/>
                <w:szCs w:val="21"/>
              </w:rPr>
              <w:t xml:space="preserve">backend (Spring Boot), nowhere-docs (기능명세서)</w:t>
            </w:r>
          </w:p>
        </w:tc>
      </w:tr>
    </w:tbl>
    <w:p>
      <w:pPr>
        <w:spacing w:after="160"/>
      </w:pPr>
    </w:p>
    <w:p>
      <w:pPr>
        <w:spacing w:after="150"/>
      </w:pPr>
      <w:r>
        <w:rPr>
          <w:sz w:val="22"/>
          <w:szCs w:val="22"/>
        </w:rPr>
        <w:t xml:space="preserve">본 프로젝트는 Claude Code를 활용하여 OCI vm-03 인프라 구축·데이터 파이프라인 구현·배포 작업을 진행했다.</w:t>
      </w:r>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retendard, Malgun Gothic, Arial" w:cs="Pretendard, Malgun Gothic, Arial" w:eastAsia="Pretendard, Malgun Gothic, Arial" w:hAnsi="Pretendard, Malgun Gothic, 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3182F6" w:sz="10" w:space="6"/>
      </w:pBdr>
      <w:spacing w:after="220" w:before="380"/>
      <w:outlineLvl w:val="0"/>
    </w:pPr>
    <w:rPr>
      <w:b/>
      <w:bCs/>
      <w:color w:val="191F28"/>
      <w:sz w:val="32"/>
      <w:szCs w:val="32"/>
    </w:rPr>
  </w:style>
  <w:style w:type="paragraph" w:styleId="Heading2">
    <w:name w:val="Heading 2"/>
    <w:basedOn w:val="Normal"/>
    <w:next w:val="Normal"/>
    <w:qFormat/>
    <w:pPr>
      <w:spacing w:after="140" w:before="260"/>
      <w:outlineLvl w:val="1"/>
    </w:pPr>
    <w:rPr>
      <w:b/>
      <w:bCs/>
      <w:color w:val="3182F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681794746280b51de11cbf2618d4b6282b4410d.png"/><Relationship Id="rId8" Type="http://schemas.openxmlformats.org/officeDocument/2006/relationships/image" Target="media/52788e41f6018150592aa9b42d99969c2ea11bc0.png"/><Relationship Id="rId9" Type="http://schemas.openxmlformats.org/officeDocument/2006/relationships/image" Target="media/36762df17b74737e7857ab379f6c176ca9342173.png"/><Relationship Id="rId10" Type="http://schemas.openxmlformats.org/officeDocument/2006/relationships/image" Target="media/47ea789a125e91d6958520c233cf8312279e5ad7.png"/><Relationship Id="rId11" Type="http://schemas.openxmlformats.org/officeDocument/2006/relationships/image" Target="media/874637d13b054f7e12a32ea5833674ed37d7c38d.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2026-07-08T14:39:12.879Z</dcterms:created>
  <dcterms:modified xsi:type="dcterms:W3CDTF">2026-07-08T14:39:12.889Z</dcterms:modified>
</cp:coreProperties>
</file>

<file path=docProps/custom.xml><?xml version="1.0" encoding="utf-8"?>
<Properties xmlns="http://schemas.openxmlformats.org/officeDocument/2006/custom-properties" xmlns:vt="http://schemas.openxmlformats.org/officeDocument/2006/docPropsVTypes"/>
</file>