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09b61c2113d1e3d2243e90105f44ede1ad7a2a"/>
    <w:p>
      <w:pPr>
        <w:pStyle w:val="Heading1"/>
      </w:pPr>
      <w:r>
        <w:t xml:space="preserve">Sparse-Reward Exploration Learning &amp; Multi-Agent Architecture</w:t>
      </w:r>
    </w:p>
    <w:bookmarkEnd w:id="20"/>
    <w:bookmarkStart w:id="40" w:name="decision-report-for-ai-utopia"/>
    <w:p>
      <w:pPr>
        <w:pStyle w:val="Heading1"/>
      </w:pPr>
      <w:r>
        <w:t xml:space="preserve">Decision Report for AI-Utopia</w:t>
      </w:r>
    </w:p>
    <w:bookmarkStart w:id="26" w:name="sparse-reward-exploration-learning"/>
    <w:p>
      <w:pPr>
        <w:pStyle w:val="Heading2"/>
      </w:pPr>
      <w:r>
        <w:t xml:space="preserve">1. Sparse-Reward Exploration Learning</w:t>
      </w:r>
    </w:p>
    <w:p>
      <w:pPr>
        <w:pStyle w:val="FirstParagraph"/>
      </w:pPr>
      <w:r>
        <w:t xml:space="preserve">When extrinsic rewards are sparse, the agent must generate its own learning signal. This section evaluates intrinsic motivation methods, ranks them for fast-sim PPO, provides a stabilization recipe for masked multi-head action spaces, and assesses BC warm-start as an exploration bootstrap.</w:t>
      </w:r>
    </w:p>
    <w:bookmarkStart w:id="21" w:name="intrinsic-motivation-methods"/>
    <w:p>
      <w:pPr>
        <w:pStyle w:val="Heading3"/>
      </w:pPr>
      <w:r>
        <w:t xml:space="preserve">1.1 Intrinsic Motivation Methods</w:t>
      </w:r>
    </w:p>
    <w:p>
      <w:pPr>
        <w:pStyle w:val="FirstParagraph"/>
      </w:pPr>
      <w:r>
        <w:rPr>
          <w:bCs/>
          <w:b/>
        </w:rPr>
        <w:t xml:space="preserve">RND</w:t>
      </w:r>
      <w:r>
        <w:t xml:space="preserve"> </w:t>
      </w:r>
      <w:r>
        <w:rPr>
          <w:vertAlign w:val="superscript"/>
        </w:rPr>
        <w:t xml:space="preserve">1</w:t>
      </w:r>
      <w:r>
        <w:t xml:space="preserve">measures novelty as prediction error of a trainable network matching a fixed random target on the current observation. The deterministic target makes RND robust to the Noisy-TV problem by construction — it captures only epistemic uncertainty, not environment noise</w:t>
      </w:r>
      <w:r>
        <w:t xml:space="preserve"> </w:t>
      </w:r>
      <w:r>
        <w:rPr>
          <w:vertAlign w:val="superscript"/>
        </w:rPr>
        <w:t xml:space="preserve">1</w:t>
      </w:r>
      <w:r>
        <w:t xml:space="preserve">. Overhead is minimal (~1.1x, one forward pass at ~11 learner steps/sec)</w:t>
      </w:r>
      <w:r>
        <w:t xml:space="preserve"> </w:t>
      </w:r>
      <w:r>
        <w:rPr>
          <w:vertAlign w:val="superscript"/>
        </w:rPr>
        <w:t xml:space="preserve">2</w:t>
      </w:r>
      <w:r>
        <w:t xml:space="preserve">. RND requires dual value heads (</w:t>
      </w:r>
      <m:oMath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) with</w:t>
      </w:r>
      <w:r>
        <w:t xml:space="preserve"> </w:t>
      </w:r>
      <m:oMath>
        <m:sSub>
          <m:e>
            <m:r>
              <m:t>γ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rPr>
          <w:vertAlign w:val="superscript"/>
        </w:rPr>
        <w:t xml:space="preserve">3</w:t>
      </w:r>
      <w:r>
        <w:t xml:space="preserve">. Its global novelty bonus fails in procedurally-generated environments where states are never revisited</w:t>
      </w:r>
      <w:r>
        <w:t xml:space="preserve"> </w:t>
      </w:r>
      <w:r>
        <w:rPr>
          <w:vertAlign w:val="superscript"/>
        </w:rPr>
        <w:t xml:space="preserve">4</w:t>
      </w:r>
      <w:r>
        <w:t xml:space="preserve">, and without RMS normalization achieves zero reward</w:t>
      </w:r>
      <w:r>
        <w:t xml:space="preserve"> </w:t>
      </w:r>
      <w:r>
        <w:rPr>
          <w:vertAlign w:val="superscript"/>
        </w:rPr>
        <w:t xml:space="preserve">5</w:t>
      </w:r>
      <w:r>
        <w:t xml:space="preserve">. On MiniGrid-DoorKey-8x8, tuned RND reaches 82% success</w:t>
      </w:r>
      <w:r>
        <w:t xml:space="preserve"> </w:t>
      </w:r>
      <w:r>
        <w:rPr>
          <w:vertAlign w:val="superscript"/>
        </w:rPr>
        <w:t xml:space="preserve">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ICM</w:t>
      </w:r>
      <w:r>
        <w:t xml:space="preserve"> </w:t>
      </w:r>
      <w:r>
        <w:rPr>
          <w:vertAlign w:val="superscript"/>
        </w:rPr>
        <w:t xml:space="preserve">6</w:t>
      </w:r>
      <w:r>
        <w:t xml:space="preserve">uses forward dynamics prediction error as the exploration bonus. It cannot distinguish unpredictable transitions due to novelty from those due to stochasticity, making it susceptible to the Noisy-TV problem</w:t>
      </w:r>
      <w:r>
        <w:t xml:space="preserve"> </w:t>
      </w:r>
      <w:r>
        <w:rPr>
          <w:vertAlign w:val="superscript"/>
        </w:rPr>
        <w:t xml:space="preserve">6</w:t>
      </w:r>
      <w:r>
        <w:t xml:space="preserve">. Under partial observability, the forward model predicts from incomplete information, producing noisy intrinsic rewards prone to</w:t>
      </w:r>
      <w:r>
        <w:t xml:space="preserve"> </w:t>
      </w:r>
      <w:r>
        <w:t xml:space="preserve">“</w:t>
      </w:r>
      <w:r>
        <w:t xml:space="preserve">detachment</w:t>
      </w:r>
      <w:r>
        <w:t xml:space="preserve">”</w:t>
      </w:r>
      <w:r>
        <w:t xml:space="preserve"> </w:t>
      </w:r>
      <w:r>
        <w:t xml:space="preserve">— when bonuses decay, the agent abandons exploration frontiers</w:t>
      </w:r>
      <w:r>
        <w:t xml:space="preserve"> </w:t>
      </w:r>
      <w:r>
        <w:rPr>
          <w:vertAlign w:val="superscript"/>
        </w:rPr>
        <w:t xml:space="preserve">7</w:t>
      </w:r>
      <w:r>
        <w:t xml:space="preserve">. ICM scored 83% on MiniGrid-DoorKey-8x8</w:t>
      </w:r>
      <w:r>
        <w:t xml:space="preserve"> </w:t>
      </w:r>
      <w:r>
        <w:rPr>
          <w:vertAlign w:val="superscript"/>
        </w:rPr>
        <w:t xml:space="preserve">5</w:t>
      </w:r>
      <w:r>
        <w:t xml:space="preserve">but failed on 5 of 8 DM-HARD-8 long-horizon tasks</w:t>
      </w:r>
      <w:r>
        <w:t xml:space="preserve"> </w:t>
      </w:r>
      <w:r>
        <w:rPr>
          <w:vertAlign w:val="superscript"/>
        </w:rPr>
        <w:t xml:space="preserve">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NGU / Agent57</w:t>
      </w:r>
      <w:r>
        <w:t xml:space="preserve"> </w:t>
      </w:r>
      <w:r>
        <w:rPr>
          <w:vertAlign w:val="superscript"/>
        </w:rPr>
        <w:t xml:space="preserve">9</w:t>
      </w:r>
      <w:r>
        <w:t xml:space="preserve">combines episodic novelty (k-NN within episodes) with lifelong novelty (RND) via a UVFA learning 32 distinct policies. Agent57 surpassed human baseline on all 57 Atari games but required 78 billion frames with 256 distributed actors</w:t>
      </w:r>
      <w:r>
        <w:t xml:space="preserve"> </w:t>
      </w:r>
      <w:r>
        <w:rPr>
          <w:vertAlign w:val="superscript"/>
        </w:rPr>
        <w:t xml:space="preserve">10</w:t>
      </w:r>
      <w:r>
        <w:t xml:space="preserve">— architecturally incompatible with minutes-to-train fast-sim.</w:t>
      </w:r>
    </w:p>
    <w:p>
      <w:pPr>
        <w:pStyle w:val="BodyText"/>
      </w:pPr>
      <w:r>
        <w:rPr>
          <w:bCs/>
          <w:b/>
        </w:rPr>
        <w:t xml:space="preserve">BYOL-Explore</w:t>
      </w:r>
      <w:r>
        <w:t xml:space="preserve"> </w:t>
      </w:r>
      <w:r>
        <w:rPr>
          <w:vertAlign w:val="superscript"/>
        </w:rPr>
        <w:t xml:space="preserve">8</w:t>
      </w:r>
      <w:r>
        <w:t xml:space="preserve">predicts its own future latent representation and uses prediction error as intrinsic reward. Robust to pixel-level noise — it solves 5.5/8 DM-HARD-8 tasks</w:t>
      </w:r>
      <w:r>
        <w:t xml:space="preserve"> </w:t>
      </w:r>
      <w:r>
        <w:rPr>
          <w:vertAlign w:val="superscript"/>
        </w:rPr>
        <w:t xml:space="preserve">8</w:t>
      </w:r>
      <w:r>
        <w:t xml:space="preserve">— but fails when stochasticity operates at the latent level</w:t>
      </w:r>
      <w:r>
        <w:t xml:space="preserve"> </w:t>
      </w:r>
      <w:r>
        <w:rPr>
          <w:vertAlign w:val="superscript"/>
        </w:rPr>
        <w:t xml:space="preserve">11</w:t>
      </w:r>
      <w:r>
        <w:t xml:space="preserve">. Compute matches RND</w:t>
      </w:r>
      <w:r>
        <w:t xml:space="preserve"> </w:t>
      </w:r>
      <w:r>
        <w:rPr>
          <w:vertAlign w:val="superscript"/>
        </w:rPr>
        <w:t xml:space="preserve">2</w:t>
      </w:r>
      <w:r>
        <w:t xml:space="preserve">. With 16-block visibility, latent predictions must extrapolate far beyond the observation horizon, making this method better suited to pixel inputs than vector states.</w:t>
      </w:r>
    </w:p>
    <w:p>
      <w:pPr>
        <w:pStyle w:val="BodyText"/>
      </w:pPr>
      <w:r>
        <w:rPr>
          <w:bCs/>
          <w:b/>
        </w:rPr>
        <w:t xml:space="preserve">Count-based and RE3.</w:t>
      </w:r>
      <w:r>
        <w:t xml:space="preserve"> </w:t>
      </w:r>
      <w:r>
        <w:t xml:space="preserve">Position-based counting tracks visited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and rewards with</w:t>
      </w:r>
      <w:r>
        <w:t xml:space="preserve"> </w:t>
      </w:r>
      <m:oMath>
        <m:r>
          <m:t>β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rad>
      </m:oMath>
      <w:r>
        <w:t xml:space="preserve"> </w:t>
      </w:r>
      <w:r>
        <w:rPr>
          <w:vertAlign w:val="superscript"/>
        </w:rPr>
        <w:t xml:space="preserve">12</w:t>
      </w:r>
      <w:r>
        <w:t xml:space="preserve">. For low-dimensional vector observations, state count outperforms ICM and maximum entropy methods</w:t>
      </w:r>
      <w:r>
        <w:t xml:space="preserve"> </w:t>
      </w:r>
      <w:r>
        <w:rPr>
          <w:vertAlign w:val="superscript"/>
        </w:rPr>
        <w:t xml:space="preserve">4</w:t>
      </w:r>
      <w:r>
        <w:t xml:space="preserve">. RE3</w:t>
      </w:r>
      <w:r>
        <w:t xml:space="preserve"> </w:t>
      </w:r>
      <w:r>
        <w:rPr>
          <w:vertAlign w:val="superscript"/>
        </w:rPr>
        <w:t xml:space="preserve">13</w:t>
      </w:r>
      <w:r>
        <w:t xml:space="preserve">uses a fixed random encoder (no gradients) with k-NN entropy estimation at ~1.05x overhead, achieving 95% on MiniGrid-DoorKey-8x8 — above RND (82%) and ICM (83%)</w:t>
      </w:r>
      <w:r>
        <w:t xml:space="preserve"> </w:t>
      </w:r>
      <w:r>
        <w:rPr>
          <w:vertAlign w:val="superscript"/>
        </w:rPr>
        <w:t xml:space="preserve">5</w:t>
      </w:r>
      <w:r>
        <w:t xml:space="preserve">.</w:t>
      </w:r>
    </w:p>
    <w:bookmarkEnd w:id="21"/>
    <w:bookmarkStart w:id="22" w:name="Xff076493c89430a96e41a0b4590a3f13c4560bd"/>
    <w:p>
      <w:pPr>
        <w:pStyle w:val="Heading3"/>
      </w:pPr>
      <w:r>
        <w:t xml:space="preserve">1.2 Episodic Memory and Frontier-Based Exploration</w:t>
      </w:r>
    </w:p>
    <w:p>
      <w:pPr>
        <w:pStyle w:val="FirstParagraph"/>
      </w:pPr>
      <w:r>
        <w:rPr>
          <w:bCs/>
          <w:b/>
        </w:rPr>
        <w:t xml:space="preserve">Episodic Curiosity (EC)</w:t>
      </w:r>
      <w:r>
        <w:t xml:space="preserve"> </w:t>
      </w:r>
      <w:r>
        <w:rPr>
          <w:vertAlign w:val="superscript"/>
        </w:rPr>
        <w:t xml:space="preserve">14</w:t>
      </w:r>
      <w:r>
        <w:t xml:space="preserve">uses a learned reachability network measuring novelty via environment-step distance from episodic memory, overcoming the</w:t>
      </w:r>
      <w:r>
        <w:t xml:space="preserve"> </w:t>
      </w:r>
      <w:r>
        <w:t xml:space="preserve">“</w:t>
      </w:r>
      <w:r>
        <w:t xml:space="preserve">couch potato</w:t>
      </w:r>
      <w:r>
        <w:t xml:space="preserve">”</w:t>
      </w:r>
      <w:r>
        <w:t xml:space="preserve"> </w:t>
      </w:r>
      <w:r>
        <w:t xml:space="preserve">problem</w:t>
      </w:r>
      <w:r>
        <w:t xml:space="preserve"> </w:t>
      </w:r>
      <w:r>
        <w:rPr>
          <w:vertAlign w:val="superscript"/>
        </w:rPr>
        <w:t xml:space="preserve">15</w:t>
      </w:r>
      <w:r>
        <w:t xml:space="preserve">. PPO+EC is 1.84x slower and adds 13M parameters</w:t>
      </w:r>
      <w:r>
        <w:t xml:space="preserve"> </w:t>
      </w:r>
      <w:r>
        <w:rPr>
          <w:vertAlign w:val="superscript"/>
        </w:rPr>
        <w:t xml:space="preserve">16</w:t>
      </w:r>
      <w:r>
        <w:t xml:space="preserve">; agents also preferentially explore room corners and blind alleys</w:t>
      </w:r>
      <w:r>
        <w:t xml:space="preserve"> </w:t>
      </w:r>
      <w:r>
        <w:rPr>
          <w:vertAlign w:val="superscript"/>
        </w:rPr>
        <w:t xml:space="preserve">17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E3B</w:t>
      </w:r>
      <w:r>
        <w:t xml:space="preserve"> </w:t>
      </w:r>
      <w:r>
        <w:rPr>
          <w:vertAlign w:val="superscript"/>
        </w:rPr>
        <w:t xml:space="preserve">18</w:t>
      </w:r>
      <w:r>
        <w:t xml:space="preserve">extends count-based episodic bonuses to continuous spaces: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ϕ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p>
            <m:r>
              <m:t>T</m:t>
            </m:r>
          </m:sup>
        </m:sSup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r>
                  <m:t>ϕ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ϕ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I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with embedding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learned via an inverse dynamics model. E3B achieves SOTA on 16 MiniHack tasks</w:t>
      </w:r>
      <w:r>
        <w:t xml:space="preserve"> </w:t>
      </w:r>
      <w:r>
        <w:rPr>
          <w:vertAlign w:val="superscript"/>
        </w:rPr>
        <w:t xml:space="preserve">19</w:t>
      </w:r>
      <w:r>
        <w:t xml:space="preserve">at minimal overhead. Key hyperparameters: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 </w:t>
      </w:r>
      <w:r>
        <w:t xml:space="preserve">(final 1.0), intrinsic coefficient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1.0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0.001</m:t>
        </m:r>
        <m:r>
          <m:rPr>
            <m:sty m:val="p"/>
          </m:rPr>
          <m:t>,</m:t>
        </m:r>
        <m:r>
          <m:t>0.0001</m:t>
        </m:r>
        <m:r>
          <m:rPr>
            <m:sty m:val="p"/>
          </m:rPr>
          <m:t>}</m:t>
        </m:r>
      </m:oMath>
      <w:r>
        <w:t xml:space="preserve"> </w:t>
      </w:r>
      <w:r>
        <w:rPr>
          <w:vertAlign w:val="superscript"/>
        </w:rPr>
        <w:t xml:space="preserve">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Go-Explore</w:t>
      </w:r>
      <w:r>
        <w:t xml:space="preserve"> </w:t>
      </w:r>
      <w:r>
        <w:rPr>
          <w:vertAlign w:val="superscript"/>
        </w:rPr>
        <w:t xml:space="preserve">14</w:t>
      </w:r>
      <w:r>
        <w:t xml:space="preserve">separates exploration (archive of cells and trajectories) from robustification (imitation learning). It scored 43k+ on Montezuma’s Revenge but requires ~30 billion frames and environment resettability</w:t>
      </w:r>
      <w:r>
        <w:t xml:space="preserve"> </w:t>
      </w:r>
      <w:r>
        <w:rPr>
          <w:vertAlign w:val="superscript"/>
        </w:rPr>
        <w:t xml:space="preserve">20</w:t>
      </w:r>
      <w:r>
        <w:t xml:space="preserve">. The latent variant LGE</w:t>
      </w:r>
      <w:r>
        <w:t xml:space="preserve"> </w:t>
      </w:r>
      <w:r>
        <w:rPr>
          <w:vertAlign w:val="superscript"/>
        </w:rPr>
        <w:t xml:space="preserve">21</w:t>
      </w:r>
      <w:r>
        <w:t xml:space="preserve">removes hand-designed cells but remains incompatible with fast-sim budgets.</w:t>
      </w:r>
    </w:p>
    <w:p>
      <w:pPr>
        <w:pStyle w:val="BodyText"/>
      </w:pPr>
      <w:r>
        <w:rPr>
          <w:bCs/>
          <w:b/>
        </w:rPr>
        <w:t xml:space="preserve">Frontier-based</w:t>
      </w:r>
      <w:r>
        <w:t xml:space="preserve"> </w:t>
      </w:r>
      <w:r>
        <w:t xml:space="preserve">methods</w:t>
      </w:r>
      <w:r>
        <w:t xml:space="preserve"> </w:t>
      </w:r>
      <w:r>
        <w:rPr>
          <w:vertAlign w:val="superscript"/>
        </w:rPr>
        <w:t xml:space="preserve">17</w:t>
      </w:r>
      <w:r>
        <w:t xml:space="preserve">define frontiers as boundaries between explored and unexplored space on an occupancy grid. They require maintaining an explicit spatial map — architecturally complex when observations are egocentric and zero beyond 16 blocks. Learned frontier selection via RL</w:t>
      </w:r>
      <w:r>
        <w:t xml:space="preserve"> </w:t>
      </w:r>
      <w:r>
        <w:rPr>
          <w:vertAlign w:val="superscript"/>
        </w:rPr>
        <w:t xml:space="preserve">22</w:t>
      </w:r>
      <w:r>
        <w:t xml:space="preserve">improves over nearest-frontier heuristics but compounds system complexity.</w:t>
      </w:r>
    </w:p>
    <w:bookmarkEnd w:id="22"/>
    <w:bookmarkStart w:id="23" w:name="ranking-by-suitability-for-fast-sim-ppo"/>
    <w:p>
      <w:pPr>
        <w:pStyle w:val="Heading3"/>
      </w:pPr>
      <w:r>
        <w:t xml:space="preserve">1.3 Ranking by Suitability for Fast-Sim PPO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1906"/>
        <w:gridCol w:w="1906"/>
        <w:gridCol w:w="1613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count / SimHash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if position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  <w:r>
              <w:t xml:space="preserve"> </w:t>
            </w:r>
            <w:r>
              <w:rPr>
                <w:vertAlign w:val="superscript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RE3 (random encoder + k-NN)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  <w:r>
              <w:t xml:space="preserve"> </w:t>
            </w:r>
            <w:r>
              <w:rPr>
                <w:vertAlign w:val="superscript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E3B-lite (small ID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</w:t>
            </w:r>
            <w:r>
              <w:t xml:space="preserve"> </w:t>
            </w:r>
            <w:r>
              <w:rPr>
                <w:vertAlign w:val="superscript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 (predictor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2, combine w/ episodic</w:t>
            </w:r>
            <w:r>
              <w:t xml:space="preserve"> </w:t>
            </w:r>
            <w:r>
              <w:rPr>
                <w:vertAlign w:val="superscript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E3B + RND (multiplicative)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</w:t>
            </w:r>
            <w:r>
              <w:t xml:space="preserve"> </w:t>
            </w:r>
            <w:r>
              <w:rPr>
                <w:vertAlign w:val="superscript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BYOL-Explore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3, if pixel obs</w:t>
            </w:r>
            <w:r>
              <w:t xml:space="preserve"> </w:t>
            </w:r>
            <w:r>
              <w:rPr>
                <w:vertAlign w:val="superscript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 (reachability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1.84x 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Avoid: too slow</w:t>
            </w:r>
            <w:r>
              <w:t xml:space="preserve"> </w:t>
            </w:r>
            <w:r>
              <w:rPr>
                <w:vertAlign w:val="superscript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NGU / Agent57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78B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Avoid</w:t>
            </w:r>
            <w:r>
              <w:t xml:space="preserve"> </w:t>
            </w:r>
            <w:r>
              <w:rPr>
                <w:vertAlign w:val="superscript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Go-Explore / 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~30B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Avoid</w:t>
            </w:r>
            <w:r>
              <w:t xml:space="preserve"> </w:t>
            </w: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 + 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(occupancy)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Avoid: map complexity</w:t>
            </w:r>
            <w:r>
              <w:t xml:space="preserve"> </w:t>
            </w:r>
            <w:r>
              <w:rPr>
                <w:vertAlign w:val="superscript"/>
              </w:rPr>
              <w:t xml:space="preserve">22</w:t>
            </w:r>
          </w:p>
        </w:tc>
      </w:tr>
    </w:tbl>
    <w:p>
      <w:pPr>
        <w:pStyle w:val="BodyText"/>
      </w:pPr>
      <w:r>
        <w:t xml:space="preserve">Tier 1 methods — position counting or RE3 — add near-zero overhead and are proven on MiniGrid navigation</w:t>
      </w:r>
      <w:r>
        <w:t xml:space="preserve"> </w:t>
      </w:r>
      <w:r>
        <w:rPr>
          <w:vertAlign w:val="superscript"/>
        </w:rPr>
        <w:t xml:space="preserve">5</w:t>
      </w:r>
      <w:r>
        <w:t xml:space="preserve">. Tier 2 upgrades to E3B-lite, trading a small inverse dynamics model for better noise robustness</w:t>
      </w:r>
      <w:r>
        <w:t xml:space="preserve"> </w:t>
      </w:r>
      <w:r>
        <w:rPr>
          <w:vertAlign w:val="superscript"/>
        </w:rPr>
        <w:t xml:space="preserve">18</w:t>
      </w:r>
      <w:r>
        <w:t xml:space="preserve">. Tier 3 combines E3B and RND multiplicatively, producing large statistically significant gains on contextual MDPs</w:t>
      </w:r>
      <w:r>
        <w:t xml:space="preserve"> </w:t>
      </w:r>
      <w:r>
        <w:rPr>
          <w:vertAlign w:val="superscript"/>
        </w:rPr>
        <w:t xml:space="preserve">23</w:t>
      </w:r>
      <w:r>
        <w:t xml:space="preserve">. Methods marked</w:t>
      </w:r>
      <w:r>
        <w:t xml:space="preserve"> </w:t>
      </w:r>
      <w:r>
        <w:t xml:space="preserve">“</w:t>
      </w:r>
      <w:r>
        <w:t xml:space="preserve">avoid</w:t>
      </w:r>
      <w:r>
        <w:t xml:space="preserve">”</w:t>
      </w:r>
      <w:r>
        <w:t xml:space="preserve"> </w:t>
      </w:r>
      <w:r>
        <w:t xml:space="preserve">are excluded on training budget: NGU demands 256 actors</w:t>
      </w:r>
      <w:r>
        <w:t xml:space="preserve"> </w:t>
      </w:r>
      <w:r>
        <w:rPr>
          <w:vertAlign w:val="superscript"/>
        </w:rPr>
        <w:t xml:space="preserve">10</w:t>
      </w:r>
      <w:r>
        <w:t xml:space="preserve">, Go-Explore requires 30B frames</w:t>
      </w:r>
      <w:r>
        <w:t xml:space="preserve"> </w:t>
      </w:r>
      <w:r>
        <w:rPr>
          <w:vertAlign w:val="superscript"/>
        </w:rPr>
        <w:t xml:space="preserve">20</w:t>
      </w:r>
      <w:r>
        <w:t xml:space="preserve">, and frontier methods need an explicit occupancy map.</w:t>
      </w:r>
    </w:p>
    <w:bookmarkEnd w:id="23"/>
    <w:bookmarkStart w:id="24" w:name="Xdbf42570970e3e841918c35d1e493b870aef12b"/>
    <w:p>
      <w:pPr>
        <w:pStyle w:val="Heading3"/>
      </w:pPr>
      <w:r>
        <w:t xml:space="preserve">1.4 PPO Stabilization for Multi-Head Action Spaces with Masking</w:t>
      </w:r>
    </w:p>
    <w:p>
      <w:pPr>
        <w:pStyle w:val="FirstParagraph"/>
      </w:pPr>
      <w:r>
        <w:t xml:space="preserve">Masking after distribution sampling — renormalizing probabilities but computing gradients from the unmasked distribution — causes KL divergence explosion because invalid-action gradients are not zeroed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RLlib’s adaptive KL multiplier compounds the problem: if sampled KL exceeds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nor/>
            <m:sty m:val="p"/>
          </m:rPr>
          <m:t>kl_target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kl_coeff *= 1.5</w:t>
      </w:r>
      <w:r>
        <w:t xml:space="preserve"> </w:t>
      </w:r>
      <w:r>
        <w:t xml:space="preserve">each update, producing non-finite losses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 1: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kl_coeff=0.0</w:t>
      </w:r>
      <w:r>
        <w:t xml:space="preserve"> </w:t>
      </w:r>
      <w:r>
        <w:t xml:space="preserve">and rely on</w:t>
      </w:r>
      <w:r>
        <w:t xml:space="preserve"> </w:t>
      </w:r>
      <w:r>
        <w:rPr>
          <w:rStyle w:val="VerbatimChar"/>
        </w:rPr>
        <w:t xml:space="preserve">clip_param=0.2</w:t>
      </w:r>
      <w:r>
        <w:t xml:space="preserve"> </w:t>
      </w:r>
      <w:r>
        <w:t xml:space="preserve">alone. Consensus across RLlib maintainers</w:t>
      </w:r>
      <w:r>
        <w:t xml:space="preserve"> </w:t>
      </w:r>
      <w:r>
        <w:rPr>
          <w:vertAlign w:val="superscript"/>
        </w:rPr>
        <w:t xml:space="preserve">24</w:t>
      </w:r>
      <w:r>
        <w:t xml:space="preserve">, Spinning Up</w:t>
      </w:r>
      <w:r>
        <w:t xml:space="preserve"> </w:t>
      </w:r>
      <w:r>
        <w:rPr>
          <w:vertAlign w:val="superscript"/>
        </w:rPr>
        <w:t xml:space="preserve">25</w:t>
      </w:r>
      <w:r>
        <w:t xml:space="preserve">, and SB3</w:t>
      </w:r>
      <w:r>
        <w:t xml:space="preserve"> </w:t>
      </w:r>
      <w:r>
        <w:rPr>
          <w:vertAlign w:val="superscript"/>
        </w:rPr>
        <w:t xml:space="preserve">26</w:t>
      </w:r>
      <w:r>
        <w:t xml:space="preserve">: the KL penalty is</w:t>
      </w:r>
      <w:r>
        <w:t xml:space="preserve"> </w:t>
      </w:r>
      <w:r>
        <w:t xml:space="preserve">“</w:t>
      </w:r>
      <w:r>
        <w:t xml:space="preserve">much more brittle</w:t>
      </w:r>
      <w:r>
        <w:t xml:space="preserve">”</w:t>
      </w:r>
      <w:r>
        <w:t xml:space="preserve"> </w:t>
      </w:r>
      <w:r>
        <w:t xml:space="preserve">than clipping for trust-region control.</w:t>
      </w:r>
    </w:p>
    <w:p>
      <w:pPr>
        <w:pStyle w:val="BodyText"/>
      </w:pPr>
      <w:r>
        <w:rPr>
          <w:bCs/>
          <w:b/>
        </w:rPr>
        <w:t xml:space="preserve">Fix 2:</w:t>
      </w:r>
      <w:r>
        <w:t xml:space="preserve"> </w:t>
      </w:r>
      <w:r>
        <w:t xml:space="preserve">Mask logits before softmax:</w:t>
      </w:r>
      <w:r>
        <w:t xml:space="preserve"> </w:t>
      </w:r>
      <w:r>
        <w:rPr>
          <w:rStyle w:val="VerbatimChar"/>
        </w:rPr>
        <w:t xml:space="preserve">masked_logits = logits + clamp(log(action_mask), min=FLOAT_MIN)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FLOAT_MIN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38</m:t>
            </m:r>
          </m:sup>
        </m:sSup>
      </m:oMath>
      <w:r>
        <w:t xml:space="preserve"> </w:t>
      </w:r>
      <w:r>
        <w:rPr>
          <w:vertAlign w:val="superscript"/>
        </w:rPr>
        <w:t xml:space="preserve">17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This zeros both probability and gradient for invalid actions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 3:</w:t>
      </w:r>
      <w:r>
        <w:t xml:space="preserve"> </w:t>
      </w:r>
      <w:r>
        <w:t xml:space="preserve">Entropy schedule</w:t>
      </w:r>
      <w:r>
        <w:t xml:space="preserve"> </w:t>
      </w:r>
      <w:r>
        <w:rPr>
          <w:rStyle w:val="VerbatimChar"/>
        </w:rPr>
        <w:t xml:space="preserve">[[0, 0.01], [1000000, 0.001]]</w:t>
      </w:r>
      <w:r>
        <w:t xml:space="preserve"> </w:t>
      </w:r>
      <w:r>
        <w:rPr>
          <w:vertAlign w:val="superscript"/>
        </w:rPr>
        <w:t xml:space="preserve">28</w:t>
      </w:r>
      <w:r>
        <w:t xml:space="preserve">. For multi-head spaces, sum per-head entropy over masked distributions only</w:t>
      </w:r>
      <w:r>
        <w:t xml:space="preserve"> </w:t>
      </w:r>
      <w:r>
        <w:rPr>
          <w:vertAlign w:val="superscript"/>
        </w:rPr>
        <w:t xml:space="preserve">19</w:t>
      </w:r>
      <w:r>
        <w:t xml:space="preserve"> </w:t>
      </w:r>
      <w:r>
        <w:rPr>
          <w:vertAlign w:val="superscript"/>
        </w:rPr>
        <w:t xml:space="preserve">29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 4:</w:t>
      </w:r>
      <w:r>
        <w:t xml:space="preserve"> </w:t>
      </w:r>
      <w:r>
        <w:t xml:space="preserve">Clamp Gaussian log-std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for all heads including unused ones</w:t>
      </w:r>
      <w:r>
        <w:t xml:space="preserve"> </w:t>
      </w:r>
      <w:r>
        <w:rPr>
          <w:vertAlign w:val="superscript"/>
        </w:rPr>
        <w:t xml:space="preserve">30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kl_coeff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KL penalty</w:t>
            </w:r>
            <w:r>
              <w:t xml:space="preserve"> </w:t>
            </w:r>
            <w:r>
              <w:rPr>
                <w:vertAlign w:val="superscript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PPO trust region</w:t>
            </w:r>
            <w:r>
              <w:t xml:space="preserve"> </w:t>
            </w: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entropy_coeff_schedule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[[0, 0.01], [1M, 0.001]]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decay</w:t>
            </w:r>
            <w:r>
              <w:t xml:space="preserve"> </w:t>
            </w:r>
            <w:r>
              <w:rPr>
                <w:vertAlign w:val="superscript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grad_clip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L2 norm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vf_loss_coeff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loss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num_sgd_iter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PPO epochs per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PPO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Log-std clamp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Prevent unused head drift</w:t>
            </w:r>
            <w:r>
              <w:t xml:space="preserve"> </w:t>
            </w:r>
            <w:r>
              <w:rPr>
                <w:vertAlign w:val="superscript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Pre-softmax (FLOAT_MIN)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prob and gradient</w:t>
            </w:r>
            <w:r>
              <w:t xml:space="preserve"> </w:t>
            </w:r>
            <w:r>
              <w:rPr>
                <w:vertAlign w:val="superscript"/>
              </w:rPr>
              <w:t xml:space="preserve">17</w:t>
            </w:r>
          </w:p>
        </w:tc>
      </w:tr>
    </w:tbl>
    <w:bookmarkEnd w:id="24"/>
    <w:bookmarkStart w:id="25" w:name="X48cc82701d9478561d4003d40ccf6a95b3cde01"/>
    <w:p>
      <w:pPr>
        <w:pStyle w:val="Heading3"/>
      </w:pPr>
      <w:r>
        <w:t xml:space="preserve">1.5 Behavior Cloning Warm-Start for Exploration Bootstrapping</w:t>
      </w:r>
    </w:p>
    <w:p>
      <w:pPr>
        <w:pStyle w:val="FirstParagraph"/>
      </w:pPr>
      <w:r>
        <w:t xml:space="preserve">PIRLNav demonstrated BC pretraining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RL finetuning achieves 65.0% ObjectNav success (+5.0% SOTA), but naive BC</w:t>
      </w:r>
      <m:oMath>
        <m:r>
          <m:rPr>
            <m:sty m:val="p"/>
          </m:rPr>
          <m:t>→</m:t>
        </m:r>
      </m:oMath>
      <w:r>
        <w:t xml:space="preserve">RL fails without a two-phase regime: first freeze the actor and train the critic on frozen-BC rollouts (~8M steps), then warm the actor LR from zero while decaying the critic LR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 Without critic warmup, poor value estimates destroy the pretrained actor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</w:t>
      </w:r>
    </w:p>
    <w:p>
      <w:pPr>
        <w:pStyle w:val="BodyText"/>
      </w:pPr>
      <w:r>
        <w:t xml:space="preserve">Demonstrator quality is critical. PIRLNav matched BC pretraining accuracy across three demonstrator types: human demos reached 66.1% VAL success, frontier exploration 51.3%, shortest paths 43.6%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 Task-specific strategies transfer; task-agnostic patterns (generic spiral/lawnmower) do not. For offline-to-online alternatives, AWAC solves sparse-reward dexterous manipulation in 20 min online</w:t>
      </w:r>
      <w:r>
        <w:t xml:space="preserve"> </w:t>
      </w:r>
      <w:r>
        <w:rPr>
          <w:vertAlign w:val="superscript"/>
        </w:rPr>
        <w:t xml:space="preserve">32</w:t>
      </w:r>
      <w:r>
        <w:t xml:space="preserve">; IQL achieves SOTA on D4RL AntMaze stitching</w:t>
      </w:r>
      <w:r>
        <w:t xml:space="preserve"> </w:t>
      </w:r>
      <w:r>
        <w:rPr>
          <w:vertAlign w:val="superscript"/>
        </w:rPr>
        <w:t xml:space="preserve">33</w:t>
      </w:r>
      <w:r>
        <w:t xml:space="preserve">; Online Decision Transformer shows ~9x better finetuning than IQL but needs entropy regularization</w:t>
      </w:r>
      <w:r>
        <w:t xml:space="preserve"> </w:t>
      </w:r>
      <w:r>
        <w:rPr>
          <w:vertAlign w:val="superscript"/>
        </w:rPr>
        <w:t xml:space="preserve">34</w:t>
      </w:r>
      <w:r>
        <w:t xml:space="preserve">.</w:t>
      </w:r>
    </w:p>
    <w:p>
      <w:pPr>
        <w:pStyle w:val="BodyText"/>
      </w:pPr>
      <w:r>
        <w:t xml:space="preserve">Verdict: viable for a task-specific scripted searcher with proper two-phase critic warmup; not recommended for generic spiral search.</w:t>
      </w:r>
    </w:p>
    <w:bookmarkEnd w:id="25"/>
    <w:bookmarkEnd w:id="26"/>
    <w:bookmarkStart w:id="30" w:name="where-does-the-intelligence-live"/>
    <w:p>
      <w:pPr>
        <w:pStyle w:val="Heading2"/>
      </w:pPr>
      <w:r>
        <w:t xml:space="preserve">2. Where Does the Intelligence Live?</w:t>
      </w:r>
    </w:p>
    <w:bookmarkStart w:id="27" w:name="hierarchical-and-hybrid-architectures"/>
    <w:p>
      <w:pPr>
        <w:pStyle w:val="Heading3"/>
      </w:pPr>
      <w:r>
        <w:t xml:space="preserve">2.1 Hierarchical and Hybrid Architectures</w:t>
      </w:r>
    </w:p>
    <w:p>
      <w:pPr>
        <w:pStyle w:val="FirstParagraph"/>
      </w:pPr>
      <w:r>
        <w:t xml:space="preserve">Four paradigms compete for the policy↔planner↔skill stack. The</w:t>
      </w:r>
      <w:r>
        <w:t xml:space="preserve"> </w:t>
      </w:r>
      <w:r>
        <w:rPr>
          <w:bCs/>
          <w:b/>
        </w:rPr>
        <w:t xml:space="preserve">Options framework</w:t>
      </w:r>
      <w:r>
        <w:t xml:space="preserve"> </w:t>
      </w:r>
      <w:r>
        <w:t xml:space="preserve">defines temporally extended actions as</w:t>
      </w:r>
      <w:r>
        <w:t xml:space="preserve"> </w:t>
      </w:r>
      <m:oMath>
        <m:r>
          <m:rPr>
            <m:sty m:val="p"/>
          </m:rPr>
          <m:t>⟨</m:t>
        </m:r>
        <m:r>
          <m:t>I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⟩</m:t>
        </m:r>
      </m:oMath>
      <w:r>
        <w:t xml:space="preserve">—initiation set, internal policy, and termination condition—enabling macro-action selection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Option-Critic extends this to end-to-end deep RL</w:t>
      </w:r>
      <w:r>
        <w:t xml:space="preserve"> </w:t>
      </w:r>
      <w:r>
        <w:rPr>
          <w:vertAlign w:val="superscript"/>
        </w:rPr>
        <w:t xml:space="preserve">20</w:t>
      </w:r>
      <w:r>
        <w:t xml:space="preserve">, but gains are tied to compositional environment structure, and option discovery under multi-agent non-stationarity remains open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</w:t>
      </w:r>
      <w:r>
        <w:t xml:space="preserve"> </w:t>
      </w:r>
      <w:r>
        <w:rPr>
          <w:bCs/>
          <w:b/>
        </w:rPr>
        <w:t xml:space="preserve">Feudal Networks</w:t>
      </w:r>
      <w:r>
        <w:t xml:space="preserve"> </w:t>
      </w:r>
      <w:r>
        <w:t xml:space="preserve">(FuN) decouple learning via a Manager that sets abstract goals in latent space and a Worker that executes primitive actions conditioned on them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Long-timescale credit assignment is excellent, yet Manager scalability concerns emerge as the goal space grows</w:t>
      </w:r>
      <w:r>
        <w:t xml:space="preserve"> </w:t>
      </w:r>
      <w:r>
        <w:rPr>
          <w:vertAlign w:val="superscript"/>
        </w:rPr>
        <w:t xml:space="preserve">35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HTN</w:t>
      </w:r>
      <w:r>
        <w:t xml:space="preserve"> </w:t>
      </w:r>
      <w:r>
        <w:t xml:space="preserve">(Hierarchical Task Network) planning and</w:t>
      </w:r>
      <w:r>
        <w:t xml:space="preserve"> </w:t>
      </w:r>
      <w:r>
        <w:rPr>
          <w:bCs/>
          <w:b/>
        </w:rPr>
        <w:t xml:space="preserve">GOAP</w:t>
      </w:r>
      <w:r>
        <w:t xml:space="preserve"> </w:t>
      </w:r>
      <w:r>
        <w:t xml:space="preserve">(Goal-Oriented Action Planning) offer the opposite tradeoff: superior debuggability at the cost of hand-engineering. HTN decomposes goals through structured task hierarchies with method preconditions</w:t>
      </w:r>
      <w:r>
        <w:t xml:space="preserve"> </w:t>
      </w:r>
      <w:r>
        <w:rPr>
          <w:vertAlign w:val="superscript"/>
        </w:rPr>
        <w:t xml:space="preserve">19</w:t>
      </w:r>
      <w:r>
        <w:t xml:space="preserve">; Guerrilla Games uses HTN in DECIMA to drive NPC decisions in</w:t>
      </w:r>
      <w:r>
        <w:t xml:space="preserve"> </w:t>
      </w:r>
      <w:r>
        <w:rPr>
          <w:iCs/>
          <w:i/>
        </w:rPr>
        <w:t xml:space="preserve">Horizon Zero Dawn</w:t>
      </w:r>
      <w:r>
        <w:t xml:space="preserve"> </w:t>
      </w:r>
      <w:r>
        <w:t xml:space="preserve">with Prolog-style backtracking and in-game visualization</w:t>
      </w:r>
      <w:r>
        <w:t xml:space="preserve"> </w:t>
      </w:r>
      <w:r>
        <w:rPr>
          <w:vertAlign w:val="superscript"/>
        </w:rPr>
        <w:t xml:space="preserve">36</w:t>
      </w:r>
      <w:r>
        <w:t xml:space="preserve">. GOAP searches backward from goals through precondition-effect graphs via A*</w:t>
      </w:r>
      <w:r>
        <w:t xml:space="preserve"> </w:t>
      </w:r>
      <w:r>
        <w:rPr>
          <w:vertAlign w:val="superscript"/>
        </w:rPr>
        <w:t xml:space="preserve">30</w:t>
      </w:r>
      <w:r>
        <w:t xml:space="preserve">. Both require exhaustive domain modeling and generalize poorly beyond predefined decompositions</w:t>
      </w:r>
      <w:r>
        <w:t xml:space="preserve"> </w:t>
      </w:r>
      <w:r>
        <w:rPr>
          <w:vertAlign w:val="superscript"/>
        </w:rPr>
        <w:t xml:space="preserve">37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LLM-as-planner</w:t>
      </w:r>
      <w:r>
        <w:t xml:space="preserve"> </w:t>
      </w:r>
      <w:r>
        <w:t xml:space="preserve">paradigm offers the strongest generalization. Systems such as Voyager</w:t>
      </w:r>
      <w:r>
        <w:t xml:space="preserve"> </w:t>
      </w:r>
      <w:r>
        <w:rPr>
          <w:vertAlign w:val="superscript"/>
        </w:rPr>
        <w:t xml:space="preserve">14</w:t>
      </w:r>
      <w:r>
        <w:t xml:space="preserve">, GITM</w:t>
      </w:r>
      <w:r>
        <w:t xml:space="preserve"> </w:t>
      </w:r>
      <w:r>
        <w:rPr>
          <w:vertAlign w:val="superscript"/>
        </w:rPr>
        <w:t xml:space="preserve">21</w:t>
      </w:r>
      <w:r>
        <w:t xml:space="preserve">, and JARVIS-1</w:t>
      </w:r>
      <w:r>
        <w:t xml:space="preserve"> </w:t>
      </w:r>
      <w:r>
        <w:rPr>
          <w:vertAlign w:val="superscript"/>
        </w:rPr>
        <w:t xml:space="preserve">17</w:t>
      </w:r>
      <w:r>
        <w:t xml:space="preserve">use an LLM as the high-level reasoning layer while delegating low-level control to learned policies, code generators, or scripted actions. Interpretability is high—plans are expressed in natural language or code—but API latency can exceed one to two seconds per decision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</w:t>
      </w:r>
    </w:p>
    <w:bookmarkEnd w:id="27"/>
    <w:bookmarkStart w:id="28" w:name="X0ec60d627199b575937e12bd8632f79efd8bfe8"/>
    <w:p>
      <w:pPr>
        <w:pStyle w:val="Heading3"/>
      </w:pPr>
      <w:r>
        <w:t xml:space="preserve">2.2 Survey of Comparable Minecraft Agent Architectures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Where-To-Go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/ Scripted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Voyager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automatic curriculum</w:t>
            </w:r>
            <w:r>
              <w:t xml:space="preserve"> </w:t>
            </w:r>
            <w:r>
              <w:rPr>
                <w:vertAlign w:val="superscript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LLM-driven novelty search; curriculum proposes next item/biome based on agent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 generates task goal; code agent writes Mineflayer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is LLM-generated; no RL exploration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Decomposer → Planner → Interface</w:t>
            </w:r>
            <w:r>
              <w:t xml:space="preserve"> </w:t>
            </w:r>
            <w:r>
              <w:rPr>
                <w:vertAlign w:val="superscript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Scripted BFS (surface) / DFS (underground) on 20×20 chessboard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</w:t>
            </w:r>
            <w:r>
              <w:t xml:space="preserve">: LLM decides WHAT; hardcoded BFS/DFS handles 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BFS/DFS is scripted; LLM decides WHEN to call</w:t>
            </w:r>
            <w:r>
              <w:t xml:space="preserve"> </w:t>
            </w:r>
            <w:r>
              <w:rPr>
                <w:rStyle w:val="VerbatimChar"/>
              </w:rPr>
              <w:t xml:space="preserve">explore(object)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Plan4MC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offline skill graph + skill search</w:t>
            </w:r>
            <w:r>
              <w:t xml:space="preserve"> </w:t>
            </w:r>
            <w:r>
              <w:rPr>
                <w:vertAlign w:val="superscript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Finding-skill: LSTM high-level policy (PPO, count-based) + DQN low-level goal-reaching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LSTM selects exploration direction from historical (x,y); skill graph plans skill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Learned</w:t>
            </w:r>
            <w:r>
              <w:t xml:space="preserve">: LSTM policy trained with count-based intrinsic rewards; LLM used ONLY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DreamerV3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model (RSSM) + imagined rollouts</w:t>
            </w:r>
            <w:r>
              <w:t xml:space="preserve"> </w:t>
            </w:r>
            <w:r>
              <w:rPr>
                <w:vertAlign w:val="superscript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Entropy-regularized actor in imagined trajectories; percentile-based return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model predicts future states; actor learns from imagined rollouts</w:t>
            </w:r>
            <w:r>
              <w:t xml:space="preserve"> </w:t>
            </w:r>
            <w:r>
              <w:rPr>
                <w:vertAlign w:val="superscript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Learned</w:t>
            </w:r>
            <w:r>
              <w:t xml:space="preserve">: World model, policy, and exploration all learned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BASALT (GoUp)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state machine</w:t>
            </w:r>
            <w:r>
              <w:t xml:space="preserve"> </w:t>
            </w:r>
            <w:r>
              <w:rPr>
                <w:vertAlign w:val="superscript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VPT provides behavioral priors for walking/searching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scripts flow (walk→search→detect→execute); VPT handles 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</w:t>
            </w:r>
            <w:r>
              <w:t xml:space="preserve">: Scripts for task flow; ML for perception and control</w:t>
            </w:r>
          </w:p>
        </w:tc>
      </w:tr>
    </w:tbl>
    <w:p>
      <w:pPr>
        <w:pStyle w:val="BodyText"/>
      </w:pPr>
      <w:r>
        <w:t xml:space="preserve">The empirical spread is wide. Voyager discovered 63 unique items—3.3× prior SOTA—and was the only method to reach diamond-tier</w:t>
      </w:r>
      <w:r>
        <w:t xml:space="preserve"> </w:t>
      </w:r>
      <w:r>
        <w:rPr>
          <w:vertAlign w:val="superscript"/>
        </w:rPr>
        <w:t xml:space="preserve">20</w:t>
      </w:r>
      <w:r>
        <w:t xml:space="preserve">. GITM achieves 67.5% on ObtainDiamond, improving prior SOTA (VPT at 20%) by 47.5%, and unlocks all 262 items in the Overworld tech tree</w:t>
      </w:r>
      <w:r>
        <w:t xml:space="preserve"> </w:t>
      </w:r>
      <w:r>
        <w:rPr>
          <w:vertAlign w:val="superscript"/>
        </w:rPr>
        <w:t xml:space="preserve">16</w:t>
      </w:r>
      <w:r>
        <w:t xml:space="preserve">. Plan4MC requires only 7M environmental steps, making it the most sample-efficient demonstration-free RL method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DreamerV3 is the first algorithm to collect diamonds from scratch without human data or curricula</w:t>
      </w:r>
      <w:r>
        <w:t xml:space="preserve"> </w:t>
      </w:r>
      <w:r>
        <w:rPr>
          <w:vertAlign w:val="superscript"/>
        </w:rPr>
        <w:t xml:space="preserve">24</w:t>
      </w:r>
      <w:r>
        <w:t xml:space="preserve">. GoUp won BASALT 2022 by dividing tasks into ML-solvable and script-solvable parts: fine-tuned VPT for movement, YOLOv5 for detection, and a finite state machine for execution flow</w:t>
      </w:r>
      <w:r>
        <w:t xml:space="preserve"> </w:t>
      </w:r>
      <w:r>
        <w:rPr>
          <w:vertAlign w:val="superscript"/>
        </w:rPr>
        <w:t xml:space="preserve">28</w:t>
      </w:r>
      <w:r>
        <w:t xml:space="preserve">.</w:t>
      </w:r>
    </w:p>
    <w:bookmarkEnd w:id="28"/>
    <w:bookmarkStart w:id="29" w:name="X61433f4b712df300fc46bc88b936c74665ba6d4"/>
    <w:p>
      <w:pPr>
        <w:pStyle w:val="Heading3"/>
      </w:pPr>
      <w:r>
        <w:t xml:space="preserve">2.3 Consensus Pattern:</w:t>
      </w:r>
      <w:r>
        <w:t xml:space="preserve"> </w:t>
      </w:r>
      <w:r>
        <w:t xml:space="preserve">“</w:t>
      </w:r>
      <w:r>
        <w:t xml:space="preserve">Find a Distant Resource</w:t>
      </w:r>
      <w:r>
        <w:t xml:space="preserve">”</w:t>
      </w:r>
    </w:p>
    <w:p>
      <w:pPr>
        <w:pStyle w:val="FirstParagraph"/>
      </w:pPr>
      <w:r>
        <w:t xml:space="preserve">Across every successful system, a universal three-layer pattern emerges for finding distant resources. At the highest layer, a planner determines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to find and</w:t>
      </w:r>
      <w:r>
        <w:t xml:space="preserve"> </w:t>
      </w:r>
      <w:r>
        <w:rPr>
          <w:bCs/>
          <w:b/>
        </w:rPr>
        <w:t xml:space="preserve">where</w:t>
      </w:r>
      <w:r>
        <w:t xml:space="preserve"> </w:t>
      </w:r>
      <w:r>
        <w:t xml:space="preserve">it might be located—a GPT-4 curriculum in Voyager</w:t>
      </w:r>
      <w:r>
        <w:t xml:space="preserve"> </w:t>
      </w:r>
      <w:r>
        <w:rPr>
          <w:vertAlign w:val="superscript"/>
        </w:rPr>
        <w:t xml:space="preserve">14</w:t>
      </w:r>
      <w:r>
        <w:t xml:space="preserve">, an LLM decomposer in GITM</w:t>
      </w:r>
      <w:r>
        <w:t xml:space="preserve"> </w:t>
      </w:r>
      <w:r>
        <w:rPr>
          <w:vertAlign w:val="superscript"/>
        </w:rPr>
        <w:t xml:space="preserve">21</w:t>
      </w:r>
      <w:r>
        <w:t xml:space="preserve">, a skill graph search in Plan4MC</w:t>
      </w:r>
      <w:r>
        <w:t xml:space="preserve"> </w:t>
      </w:r>
      <w:r>
        <w:rPr>
          <w:vertAlign w:val="superscript"/>
        </w:rPr>
        <w:t xml:space="preserve">27</w:t>
      </w:r>
      <w:r>
        <w:t xml:space="preserve">, or a world model in DreamerV3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 At the middle layer, a navigator produces intermediate spatial targets: Mineflayer API calls in Voyager, BFS/DFS grid waypoints in GITM, LSTM-selected goal locations in Plan4MC, or RSSM-predicted subgoals in DreamerV3. At the lowest layer, a reactive controller handles visuomotor execution—movement, obstacle avoidance, and terrain traversal.</w:t>
      </w:r>
    </w:p>
    <w:p>
      <w:pPr>
        <w:pStyle w:val="BodyText"/>
      </w:pPr>
      <w:r>
        <w:t xml:space="preserve">The critical finding is that exploration intelligence is</w:t>
      </w:r>
      <w:r>
        <w:t xml:space="preserve"> </w:t>
      </w:r>
      <w:r>
        <w:rPr>
          <w:bCs/>
          <w:b/>
        </w:rPr>
        <w:t xml:space="preserve">split</w:t>
      </w:r>
      <w:r>
        <w:t xml:space="preserve">. Strategic direction—which resource, which biome, when to switch—originates from the planner or a dedicated producer. Tactical execution—navigation patterns, obstacle avoidance—resides in the learned policy or scripted controller. Plan4MC exemplifies this split: its LLM constructs a static skill graph entirely offline, while an RL-trained Finding-skill handles all online exploration via a count-based LSTM policy maximizing unique grid cells visited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GITM likewise embodies the split: the LLM decides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object to find, but traversal is performed by a hardcoded BFS/DFS graph search independent of the LLM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</w:t>
      </w:r>
    </w:p>
    <w:p>
      <w:pPr>
        <w:pStyle w:val="BodyText"/>
      </w:pPr>
      <w:r>
        <w:t xml:space="preserve">No validated pure end-to-end approach exists for long-horizon sparse-reward open-world tasks. Every successful system reviewed—Voyager, GITM, Plan4MC, DreamerV3, and the BASALT winners—employs hierarchical decomposition separating high-level reasoning about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from low-level control of</w:t>
      </w:r>
      <w:r>
        <w:t xml:space="preserve"> </w:t>
      </w:r>
      <w:r>
        <w:rPr>
          <w:iCs/>
          <w:i/>
        </w:rPr>
        <w:t xml:space="preserve">how</w:t>
      </w:r>
      <w:r>
        <w:t xml:space="preserve">. Flat RL fails to learn directed exploration without this structural scaffolding</w:t>
      </w:r>
      <w:r>
        <w:t xml:space="preserve"> </w:t>
      </w:r>
      <w:r>
        <w:rPr>
          <w:vertAlign w:val="superscript"/>
        </w:rPr>
        <w:t xml:space="preserve">38</w:t>
      </w:r>
      <w:r>
        <w:t xml:space="preserve">. The implication for multi-agent architectures is direct: the intelligence for finding distant resources should live in a dedicated producer module that reasons about spatial knowledge and resource distributions, not solely in the control policy.</w:t>
      </w:r>
    </w:p>
    <w:bookmarkEnd w:id="29"/>
    <w:bookmarkEnd w:id="30"/>
    <w:bookmarkStart w:id="34" w:name="the-explorerscout-producer"/>
    <w:p>
      <w:pPr>
        <w:pStyle w:val="Heading2"/>
      </w:pPr>
      <w:r>
        <w:t xml:space="preserve">3. The Explorer/Scout Producer</w:t>
      </w:r>
    </w:p>
    <w:bookmarkStart w:id="31" w:name="X2930ad8fa239d4f09590167cde00ff8aafa1da9"/>
    <w:p>
      <w:pPr>
        <w:pStyle w:val="Heading3"/>
      </w:pPr>
      <w:r>
        <w:t xml:space="preserve">3.1 Producing Exploration Targets from Partial Observation</w:t>
      </w:r>
    </w:p>
    <w:p>
      <w:pPr>
        <w:pStyle w:val="FirstParagraph"/>
      </w:pPr>
      <w:r>
        <w:t xml:space="preserve">The simplest reliable mechanism for emitting directional exploration targets from egocentric partial observations is a frontier-based pipeline that requires no learning at the base level. An online occupancy grid maps each observed cell into one of four states — {unknown, free, occupied, visited_count} — using a sparse hash-map representation that scales to the effectively infinite Minecraft surface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The Wavefront Frontier Detector (WFD) performs two nested breadth-first searches: the outer BFS traverses only known-free cells from the agent’s current position, and when a cell adjacent to unknown territory is encountered, an inner BFS extracts the complete frontier region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 Because WFD restricts scanning to known regions rather than the full map, it achieves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complexity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frontier cell count, making it suitable for real-time operation on each observation update</w:t>
      </w:r>
      <w:r>
        <w:t xml:space="preserve"> </w:t>
      </w:r>
      <w:r>
        <w:rPr>
          <w:vertAlign w:val="superscript"/>
        </w:rPr>
        <w:t xml:space="preserve">20</w:t>
      </w:r>
      <w:r>
        <w:t xml:space="preserve">.</w:t>
      </w:r>
    </w:p>
    <w:p>
      <w:pPr>
        <w:pStyle w:val="BodyText"/>
      </w:pPr>
      <w:r>
        <w:t xml:space="preserve">Frontier scoring uses a geometric utility function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geo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length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dist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robot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map</m:t>
            </m:r>
          </m:e>
        </m:d>
      </m:oMath>
      <w:r>
        <w:t xml:space="preserve"> </w:t>
      </w:r>
      <w:r>
        <w:t xml:space="preserve">that rewards large frontiers near the agent</w:t>
      </w:r>
      <w:r>
        <w:t xml:space="preserve"> </w:t>
      </w:r>
      <w:r>
        <w:rPr>
          <w:vertAlign w:val="superscript"/>
        </w:rPr>
        <w:t xml:space="preserve">25</w:t>
      </w:r>
      <w:r>
        <w:t xml:space="preserve">. Information-theoretic alternatives that maximize expected map-uncertainty reduction can paradoxically increase total exploration time; prioritizing information gain yields fast short-term coverage but ultimately prolongs full-map completion because the method conflates budget-constrained and quality-constrained objectives</w:t>
      </w:r>
      <w:r>
        <w:t xml:space="preserve"> </w:t>
      </w:r>
      <w:r>
        <w:rPr>
          <w:vertAlign w:val="superscript"/>
        </w:rPr>
        <w:t xml:space="preserve">39</w:t>
      </w:r>
      <w:r>
        <w:t xml:space="preserve">. For the scout role, the highest-scoring frontier’s centroid is emitted as a relative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t>x</m:t>
            </m:r>
            <m:r>
              <m:rPr>
                <m:sty m:val="p"/>
              </m:rPr>
              <m:t>,</m:t>
            </m:r>
            <m:r>
              <m:t>d</m:t>
            </m:r>
            <m:r>
              <m:t>z</m:t>
            </m:r>
          </m:e>
        </m:d>
      </m:oMath>
      <w:r>
        <w:t xml:space="preserve"> </w:t>
      </w:r>
      <w:r>
        <w:t xml:space="preserve">bearing or a cardinal-direction estimate with distance, sufficient for the downstream reactive controller to orient locomotion without requiring a full path plan.</w:t>
      </w:r>
    </w:p>
    <w:bookmarkEnd w:id="31"/>
    <w:bookmarkStart w:id="32" w:name="progressive-enhancement-path"/>
    <w:p>
      <w:pPr>
        <w:pStyle w:val="Heading3"/>
      </w:pPr>
      <w:r>
        <w:t xml:space="preserve">3.2 Progressive Enhancement Path</w:t>
      </w:r>
    </w:p>
    <w:p>
      <w:pPr>
        <w:pStyle w:val="FirstParagraph"/>
      </w:pPr>
      <w:r>
        <w:t xml:space="preserve">The frontier pipeline admits four enhancement levels that progressively trade implementation simplicity for capability. Level 1 combines the occupancy grid, WFD, and geometric scoring without any learned component; this alone achieves complete coverage of bounded environments and is sufficient for the initial scout role</w:t>
      </w:r>
      <w:r>
        <w:t xml:space="preserve"> </w:t>
      </w:r>
      <w:r>
        <w:rPr>
          <w:vertAlign w:val="superscript"/>
        </w:rPr>
        <w:t xml:space="preserve">40</w:t>
      </w:r>
      <w:r>
        <w:t xml:space="preserve">. Level 2 adds a count-based visitation bonus that penalizes revisiting already-covered grid cells, biasing frontier selection toward less-visited regions. Count-based exploration outperforms Plan4MC’s learned LSTM high-level policy on both coverage and revisit-count metrics</w:t>
      </w:r>
      <w:r>
        <w:t xml:space="preserve"> </w:t>
      </w:r>
      <w:r>
        <w:rPr>
          <w:vertAlign w:val="superscript"/>
        </w:rPr>
        <w:t xml:space="preserve">9</w:t>
      </w:r>
      <w:r>
        <w:t xml:space="preserve">, making it the highest-ROI first enhancement. Level 3 incorporates semantic priors from LLM world knowledge — for example, propagating biome temperature gradients to score frontiers by their likelihood of containing the target resource type</w:t>
      </w:r>
      <w:r>
        <w:t xml:space="preserve"> </w:t>
      </w:r>
      <w:r>
        <w:rPr>
          <w:vertAlign w:val="superscript"/>
        </w:rPr>
        <w:t xml:space="preserve">37</w:t>
      </w:r>
      <w:r>
        <w:t xml:space="preserve">. Minecraft biome placement follows temperature-smoothed climate zones where warm land has a 4/6 assignment probability, enabling temperature trajectories to serve as directional signals</w:t>
      </w:r>
      <w:r>
        <w:t xml:space="preserve"> </w:t>
      </w:r>
      <w:r>
        <w:rPr>
          <w:vertAlign w:val="superscript"/>
        </w:rPr>
        <w:t xml:space="preserve">41</w:t>
      </w:r>
      <w:r>
        <w:t xml:space="preserve">. Level 4 replaces the hand-designed scorer with a learned high-level policy similar to Plan4MC’s Finding-skill, where a recurrent network observing historical positions emits goal coordinates and is trained with PPO to maximize unique grid-cell visitation</w:t>
      </w:r>
      <w:r>
        <w:t xml:space="preserve"> </w:t>
      </w:r>
      <w:r>
        <w:rPr>
          <w:vertAlign w:val="superscript"/>
        </w:rPr>
        <w:t xml:space="preserve">28</w:t>
      </w:r>
      <w:r>
        <w:t xml:space="preserve">. This progression is staged deliberately: evidence shows that tasks with Finding-skills achieve 40% conditional success versus 25% without</w:t>
      </w:r>
      <w:r>
        <w:t xml:space="preserve"> </w:t>
      </w:r>
      <w:r>
        <w:rPr>
          <w:vertAlign w:val="superscript"/>
        </w:rPr>
        <w:t xml:space="preserve">42</w:t>
      </w:r>
      <w:r>
        <w:t xml:space="preserve">, but the learned policy should only be introduced if geometric and count-based methods plateau.</w:t>
      </w:r>
    </w:p>
    <w:bookmarkEnd w:id="32"/>
    <w:bookmarkStart w:id="33" w:name="multi-agent-information-sharing"/>
    <w:p>
      <w:pPr>
        <w:pStyle w:val="Heading3"/>
      </w:pPr>
      <w:r>
        <w:t xml:space="preserve">3.3 Multi-Agent Information Sharing</w:t>
      </w:r>
    </w:p>
    <w:p>
      <w:pPr>
        <w:pStyle w:val="FirstParagraph"/>
      </w:pPr>
      <w:r>
        <w:t xml:space="preserve">Cooperating scouts share discovered locations through a shared map updated via delta messages. Each scout transmits only newly observed cells — changed terrain types, resource presences, and timestamps — rather than the full map state, avoiding synchronization overhead while ensuring all agents merge current environmental data into their local copies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This pattern is naturally compatible with CTDE: during centralized training, the critic conditions on the full shared-map state to provide low-variance advantage estimates; during decentralized execution, each actor conditions only on its local observation plus its local map copy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Parameter sharing is organized by role — all scouts share one network, all foragers another — maintaining within-role experience diversity while enabling cross-role behavioral specialization</w:t>
      </w:r>
      <w:r>
        <w:t xml:space="preserve"> </w:t>
      </w:r>
      <w:r>
        <w:rPr>
          <w:vertAlign w:val="superscript"/>
        </w:rPr>
        <w:t xml:space="preserve">1</w:t>
      </w:r>
      <w:r>
        <w:t xml:space="preserve">. Communication itself should be targeted rather than broadcast. IC3Net’s learned gating mechanism controls when each agent communicates as a discrete decision</w:t>
      </w:r>
      <w:r>
        <w:t xml:space="preserve"> </w:t>
      </w:r>
      <w:r>
        <w:rPr>
          <w:vertAlign w:val="superscript"/>
        </w:rPr>
        <w:t xml:space="preserve">25</w:t>
      </w:r>
      <w:r>
        <w:t xml:space="preserve">, and MAGIC’s ablation studies confirm that even with unlimited observability, full broadcast underperforms targeted communication</w:t>
      </w:r>
      <w:r>
        <w:t xml:space="preserve"> </w:t>
      </w:r>
      <w:r>
        <w:rPr>
          <w:vertAlign w:val="superscript"/>
        </w:rPr>
        <w:t xml:space="preserve">37</w:t>
      </w:r>
      <w:r>
        <w:t xml:space="preserve">. A scout gates its resource-location transmissions based on forager proximity and estimated relevance, reducing bandwidth while improving coordination precision.</w:t>
      </w:r>
    </w:p>
    <w:bookmarkEnd w:id="33"/>
    <w:bookmarkEnd w:id="34"/>
    <w:bookmarkStart w:id="39" w:name="synthesis-and-recommendation"/>
    <w:p>
      <w:pPr>
        <w:pStyle w:val="Heading2"/>
      </w:pPr>
      <w:r>
        <w:t xml:space="preserve">4. Synthesis and Recommendation</w:t>
      </w:r>
    </w:p>
    <w:p>
      <w:pPr>
        <w:pStyle w:val="FirstParagraph"/>
      </w:pPr>
      <w:r>
        <w:rPr>
          <w:bCs/>
          <w:b/>
        </w:rPr>
        <w:t xml:space="preserve">Executive Summary.</w:t>
      </w:r>
      <w:r>
        <w:t xml:space="preserve"> </w:t>
      </w:r>
      <w:r>
        <w:t xml:space="preserve">Five findings drive this recommendation. (1) Flat RL policies consistently underperform scripted or hybrid controllers on long-horizon sparse-reward navigation tasks—this is the established field consensus, validated by MineRL BASALT winners and DreamerV3 results</w:t>
      </w:r>
      <w:r>
        <w:t xml:space="preserve"> </w:t>
      </w:r>
      <w:r>
        <w:rPr>
          <w:vertAlign w:val="superscript"/>
        </w:rPr>
        <w:t xml:space="preserve">28</w:t>
      </w:r>
      <w:r>
        <w:t xml:space="preserve"> </w:t>
      </w:r>
      <w:r>
        <w:rPr>
          <w:vertAlign w:val="superscript"/>
        </w:rPr>
        <w:t xml:space="preserve">38</w:t>
      </w:r>
      <w:r>
        <w:t xml:space="preserve">. (2) Five independent research dimensions converge on the same three-layer architecture: a high-level producer sets WHAT/WHERE, a mid-level navigator emits bearings, and a low-level reactive controller handles HOW</w:t>
      </w:r>
      <w:r>
        <w:t xml:space="preserve"> </w:t>
      </w:r>
      <w:r>
        <w:rPr>
          <w:vertAlign w:val="superscript"/>
        </w:rPr>
        <w:t xml:space="preserve">14</w:t>
      </w:r>
      <w:r>
        <w:t xml:space="preserve"> </w:t>
      </w:r>
      <w:r>
        <w:rPr>
          <w:vertAlign w:val="superscript"/>
        </w:rPr>
        <w:t xml:space="preserve">21</w:t>
      </w:r>
      <w:r>
        <w:t xml:space="preserve"> </w:t>
      </w:r>
      <w:r>
        <w:rPr>
          <w:vertAlign w:val="superscript"/>
        </w:rPr>
        <w:t xml:space="preserve">27</w:t>
      </w:r>
      <w:r>
        <w:t xml:space="preserve"> </w:t>
      </w:r>
      <w:r>
        <w:rPr>
          <w:vertAlign w:val="superscript"/>
        </w:rPr>
        <w:t xml:space="preserve">24</w:t>
      </w:r>
      <w:r>
        <w:t xml:space="preserve">. (3) A goal-switching decision module that demotes skills and forces navigation when blind already implements the Finding-skill pattern seen in Plan4MC; the gap is a stabilized training pipeline and a producer that emits bearings from partial observations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(4) The forks are not mutually exclusive: Fork A’s runtime trajectories become Fork B’s BC warm-start data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 (5) PPO instability has a known three-line fix (disable KL penalty, mask before softmax, entropy decay schedule) that must be applied before any exploration bonus</w:t>
      </w:r>
      <w:r>
        <w:t xml:space="preserve"> </w:t>
      </w:r>
      <w:r>
        <w:rPr>
          <w:vertAlign w:val="superscript"/>
        </w:rPr>
        <w:t xml:space="preserve">24</w:t>
      </w:r>
      <w:r>
        <w:t xml:space="preserve">.</w:t>
      </w:r>
    </w:p>
    <w:bookmarkStart w:id="35" w:name="fork-analysis"/>
    <w:p>
      <w:pPr>
        <w:pStyle w:val="Heading3"/>
      </w:pPr>
      <w:r>
        <w:t xml:space="preserve">4.1 Fork Analysis</w:t>
      </w:r>
    </w:p>
    <w:p>
      <w:pPr>
        <w:pStyle w:val="FirstParagraph"/>
      </w:pPr>
      <w:r>
        <w:rPr>
          <w:bCs/>
          <w:b/>
        </w:rPr>
        <w:t xml:space="preserve">Fork A: thin reactive controller + Explorer/Scout producer.</w:t>
      </w:r>
      <w:r>
        <w:t xml:space="preserve"> </w:t>
      </w:r>
      <w:r>
        <w:t xml:space="preserve">This aligns with the consensus across every successful Minecraft agent reviewed</w:t>
      </w:r>
      <w:r>
        <w:t xml:space="preserve"> </w:t>
      </w:r>
      <w:r>
        <w:rPr>
          <w:vertAlign w:val="superscript"/>
        </w:rPr>
        <w:t xml:space="preserve">14</w:t>
      </w:r>
      <w:r>
        <w:t xml:space="preserve"> </w:t>
      </w:r>
      <w:r>
        <w:rPr>
          <w:vertAlign w:val="superscript"/>
        </w:rPr>
        <w:t xml:space="preserve">21</w:t>
      </w:r>
      <w:r>
        <w:t xml:space="preserve"> </w:t>
      </w:r>
      <w:r>
        <w:rPr>
          <w:vertAlign w:val="superscript"/>
        </w:rPr>
        <w:t xml:space="preserve">27</w:t>
      </w:r>
      <w:r>
        <w:t xml:space="preserve"> </w:t>
      </w:r>
      <w:r>
        <w:rPr>
          <w:vertAlign w:val="superscript"/>
        </w:rPr>
        <w:t xml:space="preserve">24</w:t>
      </w:r>
      <w:r>
        <w:t xml:space="preserve"> </w:t>
      </w:r>
      <w:r>
        <w:rPr>
          <w:vertAlign w:val="superscript"/>
        </w:rPr>
        <w:t xml:space="preserve">28</w:t>
      </w:r>
      <w:r>
        <w:t xml:space="preserve">. The decision-core already functions as a Finding-skill—demoting HARVEST and forcing NAVIGATE when blind—effectively acting as a high-level goal selector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What is missing is a producer converting partial observations into frontier-based bearings. Level 1 frontier detection (occupancy grid + Wavefront Frontier Detector + geometric scoring) requires no learning and provides clear sim→real transfer</w:t>
      </w:r>
      <w:r>
        <w:t xml:space="preserve"> </w:t>
      </w:r>
      <w:r>
        <w:rPr>
          <w:vertAlign w:val="superscript"/>
        </w:rPr>
        <w:t xml:space="preserve">26</w:t>
      </w:r>
      <w:r>
        <w:t xml:space="preserve"> </w:t>
      </w:r>
      <w:r>
        <w:rPr>
          <w:vertAlign w:val="superscript"/>
        </w:rPr>
        <w:t xml:space="preserve">40</w:t>
      </w:r>
      <w:r>
        <w:t xml:space="preserve">. The perception mask is architecturally sound but should be driven by the scout’s bearings rather than hardcoded cues.</w:t>
      </w:r>
    </w:p>
    <w:p>
      <w:pPr>
        <w:pStyle w:val="BodyText"/>
      </w:pPr>
      <w:r>
        <w:rPr>
          <w:bCs/>
          <w:b/>
        </w:rPr>
        <w:t xml:space="preserve">Fork B: end-to-end learned search.</w:t>
      </w:r>
      <w:r>
        <w:t xml:space="preserve"> </w:t>
      </w:r>
      <w:r>
        <w:t xml:space="preserve">This requires stabilized PPO plus an exploration bonus on a search-requiring arena. BC warm-start from a scripted follower is unlikely to exceed the follower because the demonstrator lacks behavioral diversity for transferable priors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 The follower is already task-specific yet beats PPO—suggesting the bottleneck is architectural, not prior quality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 Fork B also carries sim→real transfer risk: learned exploration policies are sensitive to distribution shift.</w:t>
      </w:r>
    </w:p>
    <w:p>
      <w:pPr>
        <w:pStyle w:val="BodyText"/>
      </w:pPr>
      <w:r>
        <w:rPr>
          <w:bCs/>
          <w:b/>
        </w:rPr>
        <w:t xml:space="preserve">Staged hybrid.</w:t>
      </w:r>
      <w:r>
        <w:t xml:space="preserve"> </w:t>
      </w:r>
      <w:r>
        <w:t xml:space="preserve">Plan4MC demonstrates this pattern: LLM constructs the skill graph offline while an RL-trained Finding-skill operates online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Fork A’s explorer trajectories can become BC warm-start data for a future unified search policy (Fork B)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</w:t>
      </w:r>
    </w:p>
    <w:bookmarkEnd w:id="35"/>
    <w:bookmarkStart w:id="36" w:name="Xc3a7b17e3c2377a58ee8243a9e3e2b9f93c5a69"/>
    <w:p>
      <w:pPr>
        <w:pStyle w:val="Heading3"/>
      </w:pPr>
      <w:r>
        <w:t xml:space="preserve">4.2 Recommendation: Fork A with Staged Path to B</w:t>
      </w:r>
    </w:p>
    <w:p>
      <w:pPr>
        <w:pStyle w:val="FirstParagraph"/>
      </w:pPr>
      <w:r>
        <w:rPr>
          <w:bCs/>
          <w:b/>
        </w:rPr>
        <w:t xml:space="preserve">Immediate (week 1–2):</w:t>
      </w:r>
      <w:r>
        <w:t xml:space="preserve"> </w:t>
      </w:r>
      <w:r>
        <w:t xml:space="preserve">Stabilize PPO:</w:t>
      </w:r>
      <w:r>
        <w:t xml:space="preserve"> </w:t>
      </w:r>
      <w:r>
        <w:rPr>
          <w:rStyle w:val="VerbatimChar"/>
        </w:rPr>
        <w:t xml:space="preserve">kl_coeff=0.0</w:t>
      </w:r>
      <w:r>
        <w:t xml:space="preserve">, mask logits with FLOAT_MIN (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38</m:t>
            </m:r>
          </m:sup>
        </m:sSup>
      </m:oMath>
      <w:r>
        <w:t xml:space="preserve">) before softmax, entropy schedule</w:t>
      </w:r>
      <w:r>
        <w:t xml:space="preserve"> </w:t>
      </w:r>
      <w:r>
        <w:rPr>
          <w:rStyle w:val="VerbatimChar"/>
        </w:rPr>
        <w:t xml:space="preserve">[[0, 0.01], [1000000, 0.001]]</w:t>
      </w:r>
      <w:r>
        <w:t xml:space="preserve"> </w:t>
      </w:r>
      <w:r>
        <w:rPr>
          <w:vertAlign w:val="superscript"/>
        </w:rPr>
        <w:t xml:space="preserve">17</w:t>
      </w:r>
      <w:r>
        <w:t xml:space="preserve"> </w:t>
      </w:r>
      <w:r>
        <w:rPr>
          <w:vertAlign w:val="superscript"/>
        </w:rPr>
        <w:t xml:space="preserve">24</w:t>
      </w:r>
      <w:r>
        <w:t xml:space="preserve"> </w:t>
      </w:r>
      <w:r>
        <w:rPr>
          <w:vertAlign w:val="superscript"/>
        </w:rPr>
        <w:t xml:space="preserve">28</w:t>
      </w:r>
      <w:r>
        <w:t xml:space="preserve">. Build the Level 1 scout: 2D occupancy grid (sparse hash-map) with WFD frontier detection, scoring frontiers by</w:t>
      </w:r>
      <w:r>
        <w:t xml:space="preserve"> </w:t>
      </w:r>
      <m:oMath>
        <m:r>
          <m:rPr>
            <m:nor/>
            <m:sty m:val="p"/>
          </m:rPr>
          <m:t>size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distance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and emitting the highest-scoring centroid as a bearing</w:t>
      </w:r>
      <w:r>
        <w:t xml:space="preserve"> </w:t>
      </w:r>
      <w:r>
        <w:rPr>
          <w:vertAlign w:val="superscript"/>
        </w:rPr>
        <w:t xml:space="preserve">26</w:t>
      </w:r>
      <w:r>
        <w:t xml:space="preserve"> </w:t>
      </w:r>
      <w:r>
        <w:rPr>
          <w:vertAlign w:val="superscript"/>
        </w:rPr>
        <w:t xml:space="preserve">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Short-term (week 3–6):</w:t>
      </w:r>
      <w:r>
        <w:t xml:space="preserve"> </w:t>
      </w:r>
      <w:r>
        <w:t xml:space="preserve">Add an episodic bonus—RE3 (fixed random encoder, dim=64, k=4) 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position count with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rad>
      </m:oMath>
      <w:r>
        <w:t xml:space="preserve"> </w:t>
      </w:r>
      <w:r>
        <w:rPr>
          <w:vertAlign w:val="superscript"/>
        </w:rPr>
        <w:t xml:space="preserve">13</w:t>
      </w:r>
      <w:r>
        <w:t xml:space="preserve"> </w:t>
      </w:r>
      <w:r>
        <w:rPr>
          <w:vertAlign w:val="superscript"/>
        </w:rPr>
        <w:t xml:space="preserve">12</w:t>
      </w:r>
      <w:r>
        <w:t xml:space="preserve">. Both add near-zero overhead and are proven on MiniGrid</w:t>
      </w:r>
      <w:r>
        <w:t xml:space="preserve"> </w:t>
      </w:r>
      <w:r>
        <w:rPr>
          <w:vertAlign w:val="superscript"/>
        </w:rPr>
        <w:t xml:space="preserve">5</w:t>
      </w:r>
      <w:r>
        <w:t xml:space="preserve">. Collect trajectories as demos.</w:t>
      </w:r>
    </w:p>
    <w:p>
      <w:pPr>
        <w:pStyle w:val="BodyText"/>
      </w:pPr>
      <w:r>
        <w:rPr>
          <w:bCs/>
          <w:b/>
        </w:rPr>
        <w:t xml:space="preserve">Medium-term (week 6+):</w:t>
      </w:r>
      <w:r>
        <w:t xml:space="preserve"> </w:t>
      </w:r>
      <w:r>
        <w:t xml:space="preserve">If trajectories show rich coverage, use BC→PPO warm-start with two-phase critic warmup (freeze actor, train critic on frozen BC rollouts for ~8M steps, then warm actor LR from zero)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 Enter Fork B only when Fork A has produced sufficient data.</w:t>
      </w:r>
    </w:p>
    <w:bookmarkEnd w:id="36"/>
    <w:bookmarkStart w:id="37" w:name="highest-leverage-next-experiments"/>
    <w:p>
      <w:pPr>
        <w:pStyle w:val="Heading3"/>
      </w:pPr>
      <w:r>
        <w:t xml:space="preserve">4.3 Highest-Leverage Next Experiments</w:t>
      </w:r>
    </w:p>
    <w:p>
      <w:pPr>
        <w:pStyle w:val="FirstParagraph"/>
      </w:pPr>
      <w:r>
        <w:rPr>
          <w:bCs/>
          <w:b/>
        </w:rPr>
        <w:t xml:space="preserve">Fork A experiment.</w:t>
      </w:r>
      <w:r>
        <w:t xml:space="preserve"> </w:t>
      </w:r>
      <w:r>
        <w:t xml:space="preserve">Deploy stabilized PPO (</w:t>
      </w:r>
      <w:r>
        <w:rPr>
          <w:rStyle w:val="VerbatimChar"/>
        </w:rPr>
        <w:t xml:space="preserve">kl_coeff=0.0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clip_param=0.2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grad_clip=0.5</w:t>
      </w:r>
      <w:r>
        <w:t xml:space="preserve">)</w:t>
      </w:r>
      <w:r>
        <w:t xml:space="preserve"> </w:t>
      </w:r>
      <w:r>
        <w:rPr>
          <w:vertAlign w:val="superscript"/>
        </w:rPr>
        <w:t xml:space="preserve">24</w:t>
      </w:r>
      <w:r>
        <w:t xml:space="preserve"> </w:t>
      </w:r>
      <w:r>
        <w:rPr>
          <w:vertAlign w:val="superscript"/>
        </w:rPr>
        <w:t xml:space="preserve">25</w:t>
      </w:r>
      <w:r>
        <w:t xml:space="preserve">with the Level 1 scout on a 2-cluster blind arena. Measure held-out clearance using real (non-oracle) frontier bearings. Success: stable training (finite KL, no collapsing seeds) exceeding the scripted follower baseline.</w:t>
      </w:r>
    </w:p>
    <w:p>
      <w:pPr>
        <w:pStyle w:val="BodyText"/>
      </w:pPr>
      <w:r>
        <w:rPr>
          <w:bCs/>
          <w:b/>
        </w:rPr>
        <w:t xml:space="preserve">Fork B experiment.</w:t>
      </w:r>
      <w:r>
        <w:t xml:space="preserve"> </w:t>
      </w:r>
      <w:r>
        <w:t xml:space="preserve">Run RE3 (k=4, encoder dim=64) with stabilized PPO on a search-requiring arena where fixed-heading must fail. Compare clearance to the scripted follower on 3+ seeds.</w:t>
      </w:r>
    </w:p>
    <w:p>
      <w:pPr>
        <w:pStyle w:val="BodyText"/>
      </w:pPr>
      <w:r>
        <w:rPr>
          <w:bCs/>
          <w:b/>
        </w:rPr>
        <w:t xml:space="preserve">Evidence that would change the recommendation.</w:t>
      </w:r>
      <w:r>
        <w:t xml:space="preserve"> </w:t>
      </w:r>
      <w:r>
        <w:t xml:space="preserve">If Fork B achieves clearance strictly greater than the scripted follower with stable training across 3+ seeds, shift priority to Fork B. If Fork A fails to exceed the follower with stabilized PPO and frontier bearings, reconsider whether the arena contains learnable structure.</w:t>
      </w:r>
    </w:p>
    <w:bookmarkEnd w:id="37"/>
    <w:bookmarkStart w:id="38" w:name="concrete-techniques-to-try-first"/>
    <w:p>
      <w:pPr>
        <w:pStyle w:val="Heading3"/>
      </w:pPr>
      <w:r>
        <w:t xml:space="preserve">4.4 Concrete Techniques to Try First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 stabilization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kl_coeff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(disabled)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entropy_coeff_schedule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[[0, 0.01], [1000000, 0.001]]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grad_clip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Mask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Pre-softmax (FLOAT_MIN)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Log-std clamp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 bonus (RE3)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encoder 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k-NN neighbors (</w:t>
            </w:r>
            <m:oMath>
              <m:r>
                <m:t>k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~1.05×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 bonus (count)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count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 producer (Level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hash-map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Frontier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WFD (two-pass BFS)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Scoring function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size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distance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centroid bearing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40</w:t>
            </w:r>
          </w:p>
        </w:tc>
      </w:tr>
    </w:tbl>
    <w:p>
      <w:pPr>
        <w:pStyle w:val="BodyText"/>
      </w:pPr>
      <w:r>
        <w:t xml:space="preserve">The PPO configuration eliminates the KL penalty because adaptive multipliers (</w:t>
      </w:r>
      <m:oMath>
        <m:r>
          <m:t>k</m:t>
        </m:r>
        <m:sSub>
          <m:e>
            <m:r>
              <m:t>l</m:t>
            </m:r>
          </m:e>
          <m:sub>
            <m:r>
              <m:t>c</m:t>
            </m:r>
            <m:r>
              <m:t>o</m:t>
            </m:r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×</m:t>
        </m:r>
        <m:r>
          <m:t>1.5</m:t>
        </m:r>
      </m:oMath>
      <w:r>
        <w:t xml:space="preserve"> </w:t>
      </w:r>
      <w:r>
        <w:t xml:space="preserve">when sampled KL exceeds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target) produce non-finite losses when masking gradients are not zeroed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 RE3 uses a fixed random encoder with no trainable parameters, making it cheaper than RND (~1.1× overhead)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The count-based alternative is cheaper still if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position is available</w:t>
      </w:r>
      <w:r>
        <w:t xml:space="preserve"> </w:t>
      </w:r>
      <w:r>
        <w:rPr>
          <w:vertAlign w:val="superscript"/>
        </w:rPr>
        <w:t xml:space="preserve">12</w:t>
      </w:r>
      <w:r>
        <w:t xml:space="preserve">. The Level 1 scout requires no learning: WFD runs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frontier-cell complexity, and geometric scoring outperforms information-theoretic alternatives that increase total exploration time</w:t>
      </w:r>
      <w:r>
        <w:t xml:space="preserve"> </w:t>
      </w:r>
      <w:r>
        <w:rPr>
          <w:vertAlign w:val="superscript"/>
        </w:rPr>
        <w:t xml:space="preserve">39</w:t>
      </w:r>
      <w:r>
        <w:t xml:space="preserve">. Stabilized PPO, a lightweight bonus, and a geometric scout form the minimal viable system for Fork A.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2026-05-30T09:33:21Z</dcterms:created>
  <dcterms:modified xsi:type="dcterms:W3CDTF">2026-05-30T09:33:21Z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