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4F46F" w14:textId="77777777" w:rsidR="00A314EC" w:rsidRDefault="004C0800" w:rsidP="00A314EC">
      <w:pPr>
        <w:spacing w:line="240" w:lineRule="auto"/>
        <w:jc w:val="center"/>
        <w:rPr>
          <w:rFonts w:ascii="PMingLiU" w:eastAsia="PMingLiU" w:hAnsi="PMingLiU"/>
        </w:rPr>
      </w:pPr>
      <w:r>
        <w:rPr>
          <w:rFonts w:ascii="PMingLiU" w:eastAsia="PMingLiU" w:hAnsi="PMingLiU" w:hint="eastAsia"/>
        </w:rPr>
        <w:t>〈</w:t>
      </w:r>
      <w:r w:rsidR="00A314EC" w:rsidRPr="00A314EC">
        <w:rPr>
          <w:rFonts w:ascii="PMingLiU" w:eastAsia="PMingLiU" w:hAnsi="PMingLiU" w:hint="eastAsia"/>
        </w:rPr>
        <w:t>清代奏摺與上諭分析平台——</w:t>
      </w:r>
    </w:p>
    <w:p w14:paraId="22492ECD" w14:textId="1FF85EE2" w:rsidR="004C0800" w:rsidRDefault="00A314EC" w:rsidP="00A314EC">
      <w:pPr>
        <w:spacing w:line="240" w:lineRule="auto"/>
        <w:jc w:val="center"/>
        <w:rPr>
          <w:rFonts w:ascii="PMingLiU" w:eastAsia="PMingLiU" w:hAnsi="PMingLiU"/>
        </w:rPr>
      </w:pPr>
      <w:r w:rsidRPr="00A314EC">
        <w:rPr>
          <w:rFonts w:ascii="PMingLiU" w:eastAsia="PMingLiU" w:hAnsi="PMingLiU" w:hint="eastAsia"/>
        </w:rPr>
        <w:t>以人工智能及</w:t>
      </w:r>
      <w:r>
        <w:rPr>
          <w:rFonts w:ascii="PMingLiU" w:eastAsia="PMingLiU" w:hAnsi="PMingLiU" w:hint="eastAsia"/>
        </w:rPr>
        <w:t>視覺化工具</w:t>
      </w:r>
      <w:r w:rsidRPr="00A314EC">
        <w:rPr>
          <w:rFonts w:ascii="PMingLiU" w:eastAsia="PMingLiU" w:hAnsi="PMingLiU" w:hint="eastAsia"/>
        </w:rPr>
        <w:t>分析官方文書</w:t>
      </w:r>
      <w:r>
        <w:rPr>
          <w:rFonts w:ascii="PMingLiU" w:eastAsia="PMingLiU" w:hAnsi="PMingLiU" w:hint="eastAsia"/>
        </w:rPr>
        <w:t>及重建</w:t>
      </w:r>
      <w:r w:rsidRPr="00A314EC">
        <w:rPr>
          <w:rFonts w:ascii="PMingLiU" w:eastAsia="PMingLiU" w:hAnsi="PMingLiU" w:hint="eastAsia"/>
        </w:rPr>
        <w:t>地方—中央通信網絡</w:t>
      </w:r>
      <w:r w:rsidR="004C0800">
        <w:rPr>
          <w:rFonts w:ascii="PMingLiU" w:eastAsia="PMingLiU" w:hAnsi="PMingLiU" w:hint="eastAsia"/>
        </w:rPr>
        <w:t>〉</w:t>
      </w:r>
    </w:p>
    <w:p w14:paraId="745432BC" w14:textId="77777777" w:rsidR="004C0800" w:rsidRDefault="004C0800" w:rsidP="004C0800">
      <w:pPr>
        <w:spacing w:line="240" w:lineRule="auto"/>
        <w:rPr>
          <w:rFonts w:ascii="PMingLiU" w:eastAsia="PMingLiU" w:hAnsi="PMingLiU"/>
        </w:rPr>
      </w:pPr>
    </w:p>
    <w:p w14:paraId="7F2C62C0" w14:textId="3EA9552F" w:rsidR="004C0800" w:rsidRDefault="004C0800" w:rsidP="004C0800">
      <w:pPr>
        <w:spacing w:line="240" w:lineRule="auto"/>
        <w:rPr>
          <w:rFonts w:ascii="PMingLiU" w:eastAsia="PMingLiU" w:hAnsi="PMingLiU"/>
        </w:rPr>
      </w:pPr>
      <w:r>
        <w:rPr>
          <w:rFonts w:ascii="PMingLiU" w:eastAsia="PMingLiU" w:hAnsi="PMingLiU"/>
        </w:rPr>
        <w:tab/>
      </w:r>
      <w:r>
        <w:rPr>
          <w:rFonts w:ascii="PMingLiU" w:eastAsia="PMingLiU" w:hAnsi="PMingLiU" w:hint="eastAsia"/>
        </w:rPr>
        <w:t>0. 結構</w:t>
      </w:r>
    </w:p>
    <w:p w14:paraId="6A544838" w14:textId="11D15799" w:rsidR="00A314EC" w:rsidRDefault="00A314EC" w:rsidP="004C0800">
      <w:pPr>
        <w:spacing w:line="240" w:lineRule="auto"/>
        <w:rPr>
          <w:rFonts w:ascii="PMingLiU" w:eastAsia="PMingLiU" w:hAnsi="PMingLiU"/>
        </w:rPr>
      </w:pPr>
      <w:r>
        <w:rPr>
          <w:rFonts w:ascii="PMingLiU" w:eastAsia="PMingLiU" w:hAnsi="PMingLiU"/>
        </w:rPr>
        <w:tab/>
      </w:r>
      <w:r>
        <w:rPr>
          <w:rFonts w:ascii="PMingLiU" w:eastAsia="PMingLiU" w:hAnsi="PMingLiU"/>
        </w:rPr>
        <w:tab/>
      </w:r>
      <w:r>
        <w:rPr>
          <w:rFonts w:ascii="PMingLiU" w:eastAsia="PMingLiU" w:hAnsi="PMingLiU" w:hint="eastAsia"/>
        </w:rPr>
        <w:t>1. 封面（題目＋目錄）</w:t>
      </w:r>
    </w:p>
    <w:p w14:paraId="38057483" w14:textId="16F6B84F" w:rsidR="00A314EC" w:rsidRDefault="00A314EC" w:rsidP="004C0800">
      <w:pPr>
        <w:spacing w:line="240" w:lineRule="auto"/>
        <w:rPr>
          <w:rFonts w:ascii="PMingLiU" w:eastAsia="PMingLiU" w:hAnsi="PMingLiU"/>
        </w:rPr>
      </w:pPr>
      <w:r>
        <w:rPr>
          <w:rFonts w:ascii="PMingLiU" w:eastAsia="PMingLiU" w:hAnsi="PMingLiU"/>
        </w:rPr>
        <w:tab/>
      </w:r>
      <w:r>
        <w:rPr>
          <w:rFonts w:ascii="PMingLiU" w:eastAsia="PMingLiU" w:hAnsi="PMingLiU"/>
        </w:rPr>
        <w:tab/>
      </w:r>
      <w:r>
        <w:rPr>
          <w:rFonts w:ascii="PMingLiU" w:eastAsia="PMingLiU" w:hAnsi="PMingLiU" w:hint="eastAsia"/>
        </w:rPr>
        <w:t>2. 引言</w:t>
      </w:r>
    </w:p>
    <w:p w14:paraId="0C0B3567" w14:textId="3779928C" w:rsidR="00A314EC" w:rsidRDefault="00A314EC" w:rsidP="004C0800">
      <w:pPr>
        <w:spacing w:line="240" w:lineRule="auto"/>
        <w:rPr>
          <w:rFonts w:ascii="PMingLiU" w:eastAsia="PMingLiU" w:hAnsi="PMingLiU"/>
        </w:rPr>
      </w:pPr>
      <w:r>
        <w:rPr>
          <w:rFonts w:ascii="PMingLiU" w:eastAsia="PMingLiU" w:hAnsi="PMingLiU"/>
        </w:rPr>
        <w:tab/>
      </w:r>
      <w:r>
        <w:rPr>
          <w:rFonts w:ascii="PMingLiU" w:eastAsia="PMingLiU" w:hAnsi="PMingLiU"/>
        </w:rPr>
        <w:tab/>
      </w:r>
      <w:r>
        <w:rPr>
          <w:rFonts w:ascii="PMingLiU" w:eastAsia="PMingLiU" w:hAnsi="PMingLiU" w:hint="eastAsia"/>
        </w:rPr>
        <w:t>3. 正文</w:t>
      </w:r>
    </w:p>
    <w:p w14:paraId="0C271B55" w14:textId="77777777" w:rsidR="00D9406D" w:rsidRDefault="00A314EC" w:rsidP="004C0800">
      <w:pPr>
        <w:spacing w:line="240" w:lineRule="auto"/>
        <w:rPr>
          <w:rFonts w:ascii="PMingLiU" w:eastAsia="PMingLiU" w:hAnsi="PMingLiU"/>
        </w:rPr>
      </w:pP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hint="eastAsia"/>
        </w:rPr>
        <w:t xml:space="preserve">1. </w:t>
      </w:r>
      <w:r w:rsidRPr="00A314EC">
        <w:rPr>
          <w:rFonts w:ascii="PMingLiU" w:eastAsia="PMingLiU" w:hAnsi="PMingLiU" w:hint="eastAsia"/>
        </w:rPr>
        <w:t>「清代奏摺與上諭分析平台」的運行流程</w:t>
      </w:r>
    </w:p>
    <w:p w14:paraId="184DBF63" w14:textId="626FC8CF" w:rsidR="00D9406D" w:rsidRDefault="00D9406D" w:rsidP="004C0800">
      <w:pPr>
        <w:spacing w:line="240" w:lineRule="auto"/>
        <w:rPr>
          <w:rFonts w:ascii="PMingLiU" w:eastAsia="PMingLiU" w:hAnsi="PMingLiU" w:hint="eastAsia"/>
        </w:rPr>
      </w:pP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hint="eastAsia"/>
        </w:rPr>
        <w:t>1. 確定研究對象後，選定研究的一手史料</w:t>
      </w:r>
    </w:p>
    <w:p w14:paraId="406DE8E7" w14:textId="4A971D36" w:rsidR="00D9406D" w:rsidRDefault="00D9406D" w:rsidP="004C0800">
      <w:pPr>
        <w:spacing w:line="240" w:lineRule="auto"/>
        <w:rPr>
          <w:rFonts w:ascii="PMingLiU" w:eastAsia="PMingLiU" w:hAnsi="PMingLiU" w:hint="eastAsia"/>
        </w:rPr>
      </w:pP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hint="eastAsia"/>
        </w:rPr>
        <w:t xml:space="preserve">2. </w:t>
      </w:r>
      <w:r w:rsidRPr="00D9406D">
        <w:rPr>
          <w:rFonts w:ascii="PMingLiU" w:eastAsia="PMingLiU" w:hAnsi="PMingLiU" w:hint="eastAsia"/>
        </w:rPr>
        <w:t>OCR、結構化一手史料</w:t>
      </w:r>
    </w:p>
    <w:p w14:paraId="18DDDD18" w14:textId="50247C78" w:rsidR="00D9406D" w:rsidRDefault="00D9406D" w:rsidP="004C0800">
      <w:pPr>
        <w:spacing w:line="240" w:lineRule="auto"/>
        <w:rPr>
          <w:rFonts w:ascii="PMingLiU" w:eastAsia="PMingLiU" w:hAnsi="PMingLiU"/>
        </w:rPr>
      </w:pP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hint="eastAsia"/>
        </w:rPr>
        <w:t xml:space="preserve">3. </w:t>
      </w:r>
      <w:r w:rsidRPr="00D9406D">
        <w:rPr>
          <w:rFonts w:ascii="PMingLiU" w:eastAsia="PMingLiU" w:hAnsi="PMingLiU" w:hint="eastAsia"/>
        </w:rPr>
        <w:t>重建文書關係</w:t>
      </w:r>
    </w:p>
    <w:p w14:paraId="5EDF9ABB" w14:textId="0C8F8C88" w:rsidR="00D9406D" w:rsidRDefault="00D9406D" w:rsidP="004C0800">
      <w:pPr>
        <w:spacing w:line="240" w:lineRule="auto"/>
        <w:rPr>
          <w:rFonts w:ascii="PMingLiU" w:eastAsia="PMingLiU" w:hAnsi="PMingLiU" w:hint="eastAsia"/>
        </w:rPr>
      </w:pP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hint="eastAsia"/>
        </w:rPr>
        <w:t>4</w:t>
      </w:r>
      <w:r w:rsidRPr="00D9406D">
        <w:rPr>
          <w:rFonts w:ascii="PMingLiU" w:eastAsia="PMingLiU" w:hAnsi="PMingLiU"/>
        </w:rPr>
        <w:t>. AI Skills</w:t>
      </w:r>
    </w:p>
    <w:p w14:paraId="63B3DA51" w14:textId="24D42E1C" w:rsidR="00A314EC" w:rsidRDefault="00A314EC" w:rsidP="004C0800">
      <w:pPr>
        <w:spacing w:line="240" w:lineRule="auto"/>
        <w:rPr>
          <w:rFonts w:ascii="PMingLiU" w:eastAsia="PMingLiU" w:hAnsi="PMingLiU"/>
        </w:rPr>
      </w:pP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hint="eastAsia"/>
        </w:rPr>
        <w:t xml:space="preserve">2. </w:t>
      </w:r>
      <w:r w:rsidRPr="00A314EC">
        <w:rPr>
          <w:rFonts w:ascii="PMingLiU" w:eastAsia="PMingLiU" w:hAnsi="PMingLiU" w:hint="eastAsia"/>
        </w:rPr>
        <w:t>網站架構</w:t>
      </w:r>
    </w:p>
    <w:p w14:paraId="6B7F1EF4" w14:textId="7EB45AF8" w:rsidR="00D9406D" w:rsidRDefault="00D9406D" w:rsidP="004C0800">
      <w:pPr>
        <w:spacing w:line="240" w:lineRule="auto"/>
        <w:rPr>
          <w:rFonts w:ascii="PMingLiU" w:eastAsia="PMingLiU" w:hAnsi="PMingLiU" w:hint="eastAsia"/>
        </w:rPr>
      </w:pPr>
      <w:r>
        <w:rPr>
          <w:rFonts w:ascii="PMingLiU" w:eastAsia="PMingLiU" w:hAnsi="PMingLiU"/>
        </w:rPr>
        <w:tab/>
      </w:r>
      <w:r>
        <w:rPr>
          <w:rFonts w:ascii="PMingLiU" w:eastAsia="PMingLiU" w:hAnsi="PMingLiU"/>
        </w:rPr>
        <w:tab/>
      </w:r>
      <w:r>
        <w:rPr>
          <w:rFonts w:ascii="PMingLiU" w:eastAsia="PMingLiU" w:hAnsi="PMingLiU"/>
        </w:rPr>
        <w:tab/>
      </w:r>
      <w:r>
        <w:rPr>
          <w:rFonts w:ascii="PMingLiU" w:eastAsia="PMingLiU" w:hAnsi="PMingLiU" w:hint="eastAsia"/>
        </w:rPr>
        <w:t xml:space="preserve">3. </w:t>
      </w:r>
      <w:r w:rsidRPr="00D9406D">
        <w:rPr>
          <w:rFonts w:ascii="PMingLiU" w:eastAsia="PMingLiU" w:hAnsi="PMingLiU" w:hint="eastAsia"/>
        </w:rPr>
        <w:t>延伸應用</w:t>
      </w:r>
    </w:p>
    <w:p w14:paraId="2942FB06" w14:textId="2AA59F1F" w:rsidR="00D9406D" w:rsidRDefault="00D9406D" w:rsidP="004C0800">
      <w:pPr>
        <w:spacing w:line="240" w:lineRule="auto"/>
        <w:rPr>
          <w:rFonts w:ascii="PMingLiU" w:eastAsia="PMingLiU" w:hAnsi="PMingLiU" w:hint="eastAsia"/>
        </w:rPr>
      </w:pPr>
      <w:r>
        <w:rPr>
          <w:rFonts w:ascii="PMingLiU" w:eastAsia="PMingLiU" w:hAnsi="PMingLiU"/>
        </w:rPr>
        <w:tab/>
      </w:r>
      <w:r>
        <w:rPr>
          <w:rFonts w:ascii="PMingLiU" w:eastAsia="PMingLiU" w:hAnsi="PMingLiU"/>
        </w:rPr>
        <w:tab/>
      </w:r>
      <w:r>
        <w:rPr>
          <w:rFonts w:ascii="PMingLiU" w:eastAsia="PMingLiU" w:hAnsi="PMingLiU" w:hint="eastAsia"/>
        </w:rPr>
        <w:t xml:space="preserve">4. </w:t>
      </w:r>
      <w:r w:rsidRPr="00D9406D">
        <w:rPr>
          <w:rFonts w:ascii="PMingLiU" w:eastAsia="PMingLiU" w:hAnsi="PMingLiU" w:hint="eastAsia"/>
        </w:rPr>
        <w:t>成果展示</w:t>
      </w:r>
    </w:p>
    <w:p w14:paraId="47F0CAEE" w14:textId="7A0EE950" w:rsidR="00A314EC" w:rsidRDefault="00A314EC" w:rsidP="004C0800">
      <w:pPr>
        <w:spacing w:line="240" w:lineRule="auto"/>
        <w:rPr>
          <w:rFonts w:ascii="PMingLiU" w:eastAsia="PMingLiU" w:hAnsi="PMingLiU" w:hint="eastAsia"/>
        </w:rPr>
      </w:pPr>
      <w:r>
        <w:rPr>
          <w:rFonts w:ascii="PMingLiU" w:eastAsia="PMingLiU" w:hAnsi="PMingLiU"/>
        </w:rPr>
        <w:tab/>
      </w:r>
      <w:r>
        <w:rPr>
          <w:rFonts w:ascii="PMingLiU" w:eastAsia="PMingLiU" w:hAnsi="PMingLiU"/>
        </w:rPr>
        <w:tab/>
      </w:r>
      <w:r>
        <w:rPr>
          <w:rFonts w:ascii="PMingLiU" w:eastAsia="PMingLiU" w:hAnsi="PMingLiU"/>
        </w:rPr>
        <w:tab/>
      </w:r>
    </w:p>
    <w:p w14:paraId="543CC170" w14:textId="77777777" w:rsidR="00D9406D" w:rsidRDefault="004C0800" w:rsidP="004C0800">
      <w:pPr>
        <w:spacing w:line="240" w:lineRule="auto"/>
        <w:rPr>
          <w:rFonts w:ascii="PMingLiU" w:eastAsia="PMingLiU" w:hAnsi="PMingLiU"/>
        </w:rPr>
      </w:pPr>
      <w:r>
        <w:rPr>
          <w:rFonts w:ascii="PMingLiU" w:eastAsia="PMingLiU" w:hAnsi="PMingLiU"/>
        </w:rPr>
        <w:tab/>
      </w:r>
    </w:p>
    <w:p w14:paraId="578356D4" w14:textId="77777777" w:rsidR="00D9406D" w:rsidRDefault="00D9406D">
      <w:pPr>
        <w:rPr>
          <w:rFonts w:ascii="PMingLiU" w:eastAsia="PMingLiU" w:hAnsi="PMingLiU"/>
        </w:rPr>
      </w:pPr>
      <w:r>
        <w:rPr>
          <w:rFonts w:ascii="PMingLiU" w:eastAsia="PMingLiU" w:hAnsi="PMingLiU"/>
        </w:rPr>
        <w:br w:type="page"/>
      </w:r>
    </w:p>
    <w:p w14:paraId="4B61C49B" w14:textId="64A6D8E2" w:rsidR="004C0800" w:rsidRPr="004C0800" w:rsidRDefault="00D9406D" w:rsidP="004C0800">
      <w:pPr>
        <w:spacing w:line="240" w:lineRule="auto"/>
        <w:rPr>
          <w:rFonts w:ascii="PMingLiU" w:eastAsia="PMingLiU" w:hAnsi="PMingLiU"/>
          <w:b/>
          <w:bCs/>
        </w:rPr>
      </w:pPr>
      <w:r>
        <w:rPr>
          <w:rFonts w:ascii="PMingLiU" w:eastAsia="PMingLiU" w:hAnsi="PMingLiU"/>
          <w:b/>
          <w:bCs/>
        </w:rPr>
        <w:lastRenderedPageBreak/>
        <w:tab/>
      </w:r>
      <w:r w:rsidR="004C0800" w:rsidRPr="004C0800">
        <w:rPr>
          <w:rFonts w:ascii="PMingLiU" w:eastAsia="PMingLiU" w:hAnsi="PMingLiU" w:hint="eastAsia"/>
          <w:b/>
          <w:bCs/>
        </w:rPr>
        <w:t>1. 引言</w:t>
      </w:r>
    </w:p>
    <w:p w14:paraId="7F90EBBA" w14:textId="77777777" w:rsidR="004C0800" w:rsidRDefault="004C0800" w:rsidP="004C0800">
      <w:pPr>
        <w:spacing w:line="240" w:lineRule="auto"/>
        <w:rPr>
          <w:rFonts w:ascii="PMingLiU" w:eastAsia="PMingLiU" w:hAnsi="PMingLiU" w:hint="eastAsia"/>
        </w:rPr>
      </w:pPr>
    </w:p>
    <w:p w14:paraId="25C2F1EB" w14:textId="6F7FD4CC" w:rsidR="004C0800" w:rsidRPr="004C0800" w:rsidRDefault="004C0800" w:rsidP="004C0800">
      <w:pPr>
        <w:spacing w:line="240" w:lineRule="auto"/>
        <w:rPr>
          <w:rFonts w:ascii="PMingLiU" w:eastAsia="PMingLiU" w:hAnsi="PMingLiU" w:hint="eastAsia"/>
          <w:u w:val="single"/>
        </w:rPr>
      </w:pPr>
      <w:r>
        <w:rPr>
          <w:rFonts w:ascii="PMingLiU" w:eastAsia="PMingLiU" w:hAnsi="PMingLiU"/>
        </w:rPr>
        <w:tab/>
      </w:r>
      <w:r>
        <w:rPr>
          <w:rFonts w:ascii="PMingLiU" w:eastAsia="PMingLiU" w:hAnsi="PMingLiU"/>
        </w:rPr>
        <w:tab/>
      </w:r>
      <w:r w:rsidRPr="004C0800">
        <w:rPr>
          <w:rFonts w:ascii="PMingLiU" w:eastAsia="PMingLiU" w:hAnsi="PMingLiU" w:hint="eastAsia"/>
          <w:u w:val="single"/>
        </w:rPr>
        <w:t xml:space="preserve">1.1. </w:t>
      </w:r>
      <w:r w:rsidRPr="004C0800">
        <w:rPr>
          <w:rFonts w:ascii="PMingLiU" w:eastAsia="PMingLiU" w:hAnsi="PMingLiU" w:hint="eastAsia"/>
          <w:u w:val="single"/>
        </w:rPr>
        <w:t>清代奏折</w:t>
      </w:r>
      <w:r w:rsidRPr="004C0800">
        <w:rPr>
          <w:rFonts w:ascii="PMingLiU" w:eastAsia="PMingLiU" w:hAnsi="PMingLiU" w:hint="eastAsia"/>
          <w:u w:val="single"/>
        </w:rPr>
        <w:t>制度</w:t>
      </w:r>
    </w:p>
    <w:p w14:paraId="1A57B2E0" w14:textId="2B2AD891" w:rsidR="004C0800" w:rsidRPr="004C0800" w:rsidRDefault="004C0800" w:rsidP="004C0800">
      <w:pPr>
        <w:spacing w:line="240" w:lineRule="auto"/>
        <w:rPr>
          <w:rFonts w:ascii="PMingLiU" w:eastAsia="PMingLiU" w:hAnsi="PMingLiU"/>
        </w:rPr>
      </w:pPr>
      <w:r w:rsidRPr="004C0800">
        <w:rPr>
          <w:rFonts w:ascii="PMingLiU" w:eastAsia="PMingLiU" w:hAnsi="PMingLiU" w:hint="eastAsia"/>
        </w:rPr>
        <w:t>清代的上行官方文書主要包括題本、奏本和奏折。題本用於正式公務，奏本用於官員私人事務。兩者送達中央後，均須經過內閣票擬，才會呈送到皇帝手上，程序繁複，亦不利機密政務的保密。（秦國經，《明清檔案學》，北京：學苑出版社，2005年，頁碼待核。）因此，自康熙朝開始，清廷開始逐步使用奏折傳遞機要。奏折主要由皇帝親信及地方大員使用，由官員親自撰寫，密封後直接送到御前，由皇帝親自閱覽和硃批。在雍正朝設立軍機處後，皇帝批閱完成的奏折會交由軍機處處理。如果需要另行下達命令，軍機大臣便按皇帝旨意擬寫上諭，經皇帝閱定後，再由內閣明發，或由軍機處以廷寄方式秘密傳達給地方官員。（宋希斌，《清代軍機處職權的來源及其演變：以公文運轉程序與政局變動為核心的考察》，北京：中國社會科學出版社，2018年，頁碼待核。）</w:t>
      </w:r>
    </w:p>
    <w:p w14:paraId="03C0F7F2" w14:textId="77777777" w:rsidR="004C0800" w:rsidRDefault="004C0800" w:rsidP="004C0800">
      <w:pPr>
        <w:spacing w:line="240" w:lineRule="auto"/>
        <w:rPr>
          <w:rFonts w:ascii="PMingLiU" w:eastAsia="PMingLiU" w:hAnsi="PMingLiU"/>
        </w:rPr>
      </w:pPr>
    </w:p>
    <w:p w14:paraId="4AA52CC5" w14:textId="052DF7BC" w:rsidR="004C0800" w:rsidRPr="004C0800" w:rsidRDefault="004C0800" w:rsidP="004C0800">
      <w:pPr>
        <w:spacing w:line="240" w:lineRule="auto"/>
        <w:rPr>
          <w:rFonts w:ascii="PMingLiU" w:eastAsia="PMingLiU" w:hAnsi="PMingLiU" w:hint="eastAsia"/>
          <w:u w:val="single"/>
        </w:rPr>
      </w:pPr>
      <w:r>
        <w:rPr>
          <w:rFonts w:ascii="PMingLiU" w:eastAsia="PMingLiU" w:hAnsi="PMingLiU"/>
        </w:rPr>
        <w:tab/>
      </w:r>
      <w:r>
        <w:rPr>
          <w:rFonts w:ascii="PMingLiU" w:eastAsia="PMingLiU" w:hAnsi="PMingLiU"/>
        </w:rPr>
        <w:tab/>
      </w:r>
      <w:r w:rsidRPr="004C0800">
        <w:rPr>
          <w:rFonts w:ascii="PMingLiU" w:eastAsia="PMingLiU" w:hAnsi="PMingLiU" w:hint="eastAsia"/>
          <w:u w:val="single"/>
        </w:rPr>
        <w:t xml:space="preserve">1.2. </w:t>
      </w:r>
      <w:r w:rsidRPr="004C0800">
        <w:rPr>
          <w:rFonts w:ascii="PMingLiU" w:eastAsia="PMingLiU" w:hAnsi="PMingLiU" w:hint="eastAsia"/>
          <w:u w:val="single"/>
        </w:rPr>
        <w:t>清代奏折</w:t>
      </w:r>
      <w:r w:rsidRPr="004C0800">
        <w:rPr>
          <w:rFonts w:ascii="PMingLiU" w:eastAsia="PMingLiU" w:hAnsi="PMingLiU" w:hint="eastAsia"/>
          <w:u w:val="single"/>
        </w:rPr>
        <w:t>的研究價值</w:t>
      </w:r>
    </w:p>
    <w:p w14:paraId="68099B33" w14:textId="35652173"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奏折是清代最重要的官方文書制度之一。在政治史方面，學界普遍認為，奏折制度減少了內閣票擬等中間程序，使皇帝能夠更直接地與地方官員通信、掌握地方政務，從而強化清代的中央集權。（秦國經，《明清檔案學》，北京：學苑出版社，2005年，頁碼待核；王劍，〈近50年來清代奏折制度研究綜述〉，《中國史研究動態》，2004年第7期，頁20–21。）</w:t>
      </w:r>
    </w:p>
    <w:p w14:paraId="5393E8F0" w14:textId="77777777" w:rsidR="004C0800" w:rsidRPr="004C0800" w:rsidRDefault="004C0800" w:rsidP="004C0800">
      <w:pPr>
        <w:spacing w:line="240" w:lineRule="auto"/>
        <w:rPr>
          <w:rFonts w:ascii="PMingLiU" w:eastAsia="PMingLiU" w:hAnsi="PMingLiU"/>
        </w:rPr>
      </w:pPr>
    </w:p>
    <w:p w14:paraId="6C5C313A"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而在歷史學研究中，奏折亦是研究清代的重要一手材料。奏折、硃批和上諭是中央與地方在政治決策過程中的原始通信記錄。透過這些文書，學者能夠重構地方資訊是如何由奏折傳到中央，皇帝的命令又如何在硃批和上諭中形成，以及在後續奏報中，地方官員如何執行皇帝的命令。</w:t>
      </w:r>
    </w:p>
    <w:p w14:paraId="27D96972" w14:textId="77777777" w:rsidR="004C0800" w:rsidRPr="004C0800" w:rsidRDefault="004C0800" w:rsidP="004C0800">
      <w:pPr>
        <w:spacing w:line="240" w:lineRule="auto"/>
        <w:rPr>
          <w:rFonts w:ascii="PMingLiU" w:eastAsia="PMingLiU" w:hAnsi="PMingLiU"/>
        </w:rPr>
      </w:pPr>
    </w:p>
    <w:p w14:paraId="5AAEF921"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正如學者指出，奏折與上諭亦是清代其他重要文獻的基礎材料。例如，《方略》正是在重大戰爭結束後，由清廷搜集、整理相關檔案，按照時間順序編排，並經過刪節與潤飾而成的文獻。然而，其中收錄的文書經過官方選擇、刪減和詮釋，原始性不及檔案，這正顯示了奏折的重要研究價值。</w:t>
      </w:r>
    </w:p>
    <w:p w14:paraId="0598421B" w14:textId="77777777" w:rsidR="004C0800" w:rsidRDefault="004C0800" w:rsidP="004C0800">
      <w:pPr>
        <w:spacing w:line="240" w:lineRule="auto"/>
        <w:rPr>
          <w:rFonts w:ascii="PMingLiU" w:eastAsia="PMingLiU" w:hAnsi="PMingLiU"/>
        </w:rPr>
      </w:pPr>
    </w:p>
    <w:p w14:paraId="03319D07" w14:textId="77777777" w:rsidR="004C0800" w:rsidRDefault="004C0800">
      <w:pPr>
        <w:rPr>
          <w:rFonts w:ascii="PMingLiU" w:eastAsia="PMingLiU" w:hAnsi="PMingLiU"/>
        </w:rPr>
      </w:pPr>
      <w:r>
        <w:rPr>
          <w:rFonts w:ascii="PMingLiU" w:eastAsia="PMingLiU" w:hAnsi="PMingLiU"/>
        </w:rPr>
        <w:br w:type="page"/>
      </w:r>
    </w:p>
    <w:p w14:paraId="51284B47" w14:textId="75B03015" w:rsidR="004C0800" w:rsidRPr="004C0800" w:rsidRDefault="004C0800" w:rsidP="004C0800">
      <w:pPr>
        <w:spacing w:line="240" w:lineRule="auto"/>
        <w:rPr>
          <w:rFonts w:ascii="PMingLiU" w:eastAsia="PMingLiU" w:hAnsi="PMingLiU" w:hint="eastAsia"/>
          <w:u w:val="single"/>
        </w:rPr>
      </w:pPr>
      <w:r>
        <w:rPr>
          <w:rFonts w:ascii="PMingLiU" w:eastAsia="PMingLiU" w:hAnsi="PMingLiU"/>
        </w:rPr>
        <w:lastRenderedPageBreak/>
        <w:tab/>
      </w:r>
      <w:r>
        <w:rPr>
          <w:rFonts w:ascii="PMingLiU" w:eastAsia="PMingLiU" w:hAnsi="PMingLiU"/>
        </w:rPr>
        <w:tab/>
      </w:r>
      <w:r w:rsidRPr="004C0800">
        <w:rPr>
          <w:rFonts w:ascii="PMingLiU" w:eastAsia="PMingLiU" w:hAnsi="PMingLiU" w:hint="eastAsia"/>
          <w:u w:val="single"/>
        </w:rPr>
        <w:t>1.3. 研究</w:t>
      </w:r>
      <w:r w:rsidRPr="004C0800">
        <w:rPr>
          <w:rFonts w:ascii="PMingLiU" w:eastAsia="PMingLiU" w:hAnsi="PMingLiU" w:hint="eastAsia"/>
          <w:u w:val="single"/>
        </w:rPr>
        <w:t>清代奏折的</w:t>
      </w:r>
      <w:r w:rsidRPr="004C0800">
        <w:rPr>
          <w:rFonts w:ascii="PMingLiU" w:eastAsia="PMingLiU" w:hAnsi="PMingLiU" w:hint="eastAsia"/>
          <w:u w:val="single"/>
        </w:rPr>
        <w:t>主要困難</w:t>
      </w:r>
    </w:p>
    <w:p w14:paraId="7714FF77" w14:textId="1CF4B71D" w:rsidR="004C0800" w:rsidRDefault="004C0800" w:rsidP="004C0800">
      <w:pPr>
        <w:spacing w:line="240" w:lineRule="auto"/>
        <w:rPr>
          <w:rFonts w:ascii="PMingLiU" w:eastAsia="PMingLiU" w:hAnsi="PMingLiU"/>
        </w:rPr>
      </w:pPr>
      <w:r w:rsidRPr="004C0800">
        <w:rPr>
          <w:rFonts w:ascii="PMingLiU" w:eastAsia="PMingLiU" w:hAnsi="PMingLiU" w:hint="eastAsia"/>
        </w:rPr>
        <w:t>然而，研究奏折與上諭的難度不少。</w:t>
      </w:r>
    </w:p>
    <w:p w14:paraId="69988080" w14:textId="77777777" w:rsidR="004C0800" w:rsidRPr="004C0800" w:rsidRDefault="004C0800" w:rsidP="004C0800">
      <w:pPr>
        <w:spacing w:line="240" w:lineRule="auto"/>
        <w:rPr>
          <w:rFonts w:ascii="PMingLiU" w:eastAsia="PMingLiU" w:hAnsi="PMingLiU"/>
        </w:rPr>
      </w:pPr>
    </w:p>
    <w:p w14:paraId="7B99732F"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首先，奏折和上諭的數量十分龐大。正如戴英從指出，研究白蓮教戰爭的重要材料《欽定剿平三省邪匪方略》共有六十九冊，超過二萬七千頁，收錄了共四千多份奏摺和上諭，篇幅極為龐大，令人望而卻步，當代學者對白蓮教戰爭的研究因此相當有限。可見，原始史料的數量龐大，增加了學者閱讀材料的難度，降低了研究的意願。（戴英從，《The White Lotus War: Rebellion and Suppression in Late Imperial China》，2019年，第一章，頁碼待核。）</w:t>
      </w:r>
    </w:p>
    <w:p w14:paraId="48E4D520" w14:textId="77777777" w:rsidR="004C0800" w:rsidRPr="004C0800" w:rsidRDefault="004C0800" w:rsidP="004C0800">
      <w:pPr>
        <w:spacing w:line="240" w:lineRule="auto"/>
        <w:rPr>
          <w:rFonts w:ascii="PMingLiU" w:eastAsia="PMingLiU" w:hAnsi="PMingLiU"/>
        </w:rPr>
      </w:pPr>
    </w:p>
    <w:p w14:paraId="0DD0FAA1"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另外，奏折涉及複雜的通信關係。當中最表面的一層，是地方官員奏報，皇帝再透過硃批或上諭作出回覆。然而，研究者不只需要留意官員何時發出奏折、皇帝何時批閱，也要注意該次奏折是否是在回覆先前的硃批或上諭；同時，還要追蹤皇帝這次發布的上諭，何時才在後續奏折中得到回應。此外，在研究特定議題的奏折時，如戰爭和司法，研究者亦要考察官員在奏折中上報了哪些消息、事件在何時發生，以及消息的來源。皇帝亦可能同時收到關於同一事件的多份奏報，而各奏報的收發時間、具體描述和消息來源亦有所不同。由此可見，奏折與上諭之間形成了不斷往返、彼此連接的多層次通信網絡。因此，研究者不但要從微觀角度分析文書中的個別訊息，也要從宏觀角度建構和理解訊息往來網絡。研究因此不能只停留於按順序閱讀純文字材料，也要借助視覺化的工具。</w:t>
      </w:r>
    </w:p>
    <w:p w14:paraId="540902B0" w14:textId="77777777" w:rsidR="004C0800" w:rsidRDefault="004C0800" w:rsidP="004C0800">
      <w:pPr>
        <w:spacing w:line="240" w:lineRule="auto"/>
        <w:rPr>
          <w:rFonts w:ascii="PMingLiU" w:eastAsia="PMingLiU" w:hAnsi="PMingLiU"/>
        </w:rPr>
      </w:pPr>
      <w:r w:rsidRPr="004C0800">
        <w:rPr>
          <w:rFonts w:ascii="PMingLiU" w:eastAsia="PMingLiU" w:hAnsi="PMingLiU"/>
        </w:rPr>
        <w:t> </w:t>
      </w:r>
    </w:p>
    <w:p w14:paraId="547C1B7D" w14:textId="071E21C7" w:rsidR="004C0800" w:rsidRPr="004C0800" w:rsidRDefault="004C0800" w:rsidP="004C0800">
      <w:pPr>
        <w:spacing w:line="240" w:lineRule="auto"/>
        <w:rPr>
          <w:rFonts w:ascii="PMingLiU" w:eastAsia="PMingLiU" w:hAnsi="PMingLiU" w:hint="eastAsia"/>
          <w:u w:val="single"/>
        </w:rPr>
      </w:pPr>
      <w:r>
        <w:rPr>
          <w:rFonts w:ascii="PMingLiU" w:eastAsia="PMingLiU" w:hAnsi="PMingLiU"/>
        </w:rPr>
        <w:tab/>
      </w:r>
      <w:r>
        <w:rPr>
          <w:rFonts w:ascii="PMingLiU" w:eastAsia="PMingLiU" w:hAnsi="PMingLiU"/>
        </w:rPr>
        <w:tab/>
      </w:r>
      <w:r w:rsidRPr="004C0800">
        <w:rPr>
          <w:rFonts w:ascii="PMingLiU" w:eastAsia="PMingLiU" w:hAnsi="PMingLiU" w:hint="eastAsia"/>
          <w:u w:val="single"/>
        </w:rPr>
        <w:t>1.4. 以數位方法研究清代奏折和上諭</w:t>
      </w:r>
    </w:p>
    <w:p w14:paraId="474AD3E3" w14:textId="37F52E96"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龐大的文本數量和複雜的通信關係，是研究奏折與上諭的兩大困難。筆者認為，人工智能（AI）與視覺化的數位工具，能夠協助研究者處理上述難題，包括：</w:t>
      </w:r>
    </w:p>
    <w:p w14:paraId="1CAF8A8D" w14:textId="77777777" w:rsidR="004C0800" w:rsidRPr="004C0800" w:rsidRDefault="004C0800" w:rsidP="004C0800">
      <w:pPr>
        <w:spacing w:line="240" w:lineRule="auto"/>
        <w:rPr>
          <w:rFonts w:ascii="PMingLiU" w:eastAsia="PMingLiU" w:hAnsi="PMingLiU"/>
        </w:rPr>
      </w:pPr>
    </w:p>
    <w:p w14:paraId="6BEB39C3" w14:textId="3A13E2A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1. 利用 Python 搜尋文本中的特定字眼，重建官員與皇帝之間的通信脈絡及資訊傳遞過程。</w:t>
      </w:r>
    </w:p>
    <w:p w14:paraId="1381C177"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2. 利用AI總結長篇文本，    讓研究者迅速掌握文本內容，並初步判斷其中是否包含值得深入閱讀與分析的資訊。</w:t>
      </w:r>
    </w:p>
    <w:p w14:paraId="73E7B450"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3. 為不同研究問題設計相應的人工智能技能（AI Skills），讓AI從文本中提取特定資訊，再交由研究者核對、審核及修正。</w:t>
      </w:r>
    </w:p>
    <w:p w14:paraId="1AFD6936"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4. 建立互動式網站，以時間線和關係網絡等視覺化方式呈現資訊傳遞過程，協助研究者從宏觀角度理解通信脈絡。</w:t>
      </w:r>
    </w:p>
    <w:p w14:paraId="06B9F1BF" w14:textId="77777777" w:rsidR="004C0800" w:rsidRDefault="004C0800" w:rsidP="004C0800">
      <w:pPr>
        <w:spacing w:line="240" w:lineRule="auto"/>
        <w:rPr>
          <w:rFonts w:ascii="PMingLiU" w:eastAsia="PMingLiU" w:hAnsi="PMingLiU"/>
        </w:rPr>
      </w:pPr>
    </w:p>
    <w:p w14:paraId="3D8AAF4D" w14:textId="3E9B9CFB" w:rsidR="004C0800" w:rsidRDefault="004C0800" w:rsidP="004C0800">
      <w:pPr>
        <w:spacing w:line="240" w:lineRule="auto"/>
        <w:rPr>
          <w:rFonts w:ascii="PMingLiU" w:eastAsia="PMingLiU" w:hAnsi="PMingLiU"/>
        </w:rPr>
      </w:pPr>
      <w:r>
        <w:rPr>
          <w:rFonts w:ascii="PMingLiU" w:eastAsia="PMingLiU" w:hAnsi="PMingLiU"/>
        </w:rPr>
        <w:tab/>
      </w:r>
    </w:p>
    <w:p w14:paraId="72E21FCC" w14:textId="77777777" w:rsidR="004C0800" w:rsidRDefault="004C0800">
      <w:pPr>
        <w:rPr>
          <w:rFonts w:ascii="PMingLiU" w:eastAsia="PMingLiU" w:hAnsi="PMingLiU"/>
        </w:rPr>
      </w:pPr>
      <w:r>
        <w:rPr>
          <w:rFonts w:ascii="PMingLiU" w:eastAsia="PMingLiU" w:hAnsi="PMingLiU"/>
        </w:rPr>
        <w:br w:type="page"/>
      </w:r>
    </w:p>
    <w:p w14:paraId="058AF312" w14:textId="32ECB7F2" w:rsidR="004C0800" w:rsidRPr="004C0800" w:rsidRDefault="004C0800" w:rsidP="004C0800">
      <w:pPr>
        <w:spacing w:line="240" w:lineRule="auto"/>
        <w:rPr>
          <w:rFonts w:ascii="PMingLiU" w:eastAsia="PMingLiU" w:hAnsi="PMingLiU" w:hint="eastAsia"/>
          <w:u w:val="single"/>
        </w:rPr>
      </w:pPr>
      <w:r>
        <w:rPr>
          <w:rFonts w:ascii="PMingLiU" w:eastAsia="PMingLiU" w:hAnsi="PMingLiU"/>
        </w:rPr>
        <w:lastRenderedPageBreak/>
        <w:tab/>
      </w:r>
      <w:r>
        <w:rPr>
          <w:rFonts w:ascii="PMingLiU" w:eastAsia="PMingLiU" w:hAnsi="PMingLiU"/>
        </w:rPr>
        <w:tab/>
      </w:r>
      <w:r w:rsidRPr="004C0800">
        <w:rPr>
          <w:rFonts w:ascii="PMingLiU" w:eastAsia="PMingLiU" w:hAnsi="PMingLiU" w:hint="eastAsia"/>
          <w:u w:val="single"/>
        </w:rPr>
        <w:t>1.5. 研究</w:t>
      </w:r>
      <w:r>
        <w:rPr>
          <w:rFonts w:ascii="PMingLiU" w:eastAsia="PMingLiU" w:hAnsi="PMingLiU" w:hint="eastAsia"/>
          <w:u w:val="single"/>
        </w:rPr>
        <w:t>成果：「</w:t>
      </w:r>
      <w:r w:rsidRPr="004C0800">
        <w:rPr>
          <w:rFonts w:ascii="PMingLiU" w:eastAsia="PMingLiU" w:hAnsi="PMingLiU" w:hint="eastAsia"/>
          <w:u w:val="single"/>
        </w:rPr>
        <w:t>清代奏摺與上諭分析平台</w:t>
      </w:r>
      <w:r>
        <w:rPr>
          <w:rFonts w:ascii="PMingLiU" w:eastAsia="PMingLiU" w:hAnsi="PMingLiU" w:hint="eastAsia"/>
          <w:u w:val="single"/>
        </w:rPr>
        <w:t>」</w:t>
      </w:r>
    </w:p>
    <w:p w14:paraId="245829A2"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基於上述理念，筆者建立了一個結合人工智能與數位人文技術的研究網站，作為研究奏摺、硃批與上諭之間通信關係的輔助平台。網站整合了文本檢索、人工智能分析及視覺化功能，協助研究者更有效地整理、分析及呈現史料，並從宏觀與微觀兩個層面理解資訊傳遞過程及官員與皇帝之間的通信脈絡。</w:t>
      </w:r>
    </w:p>
    <w:p w14:paraId="6541FF8B" w14:textId="77777777" w:rsidR="004C0800" w:rsidRDefault="004C0800" w:rsidP="004C0800">
      <w:pPr>
        <w:spacing w:line="240" w:lineRule="auto"/>
        <w:rPr>
          <w:rFonts w:ascii="PMingLiU" w:eastAsia="PMingLiU" w:hAnsi="PMingLiU"/>
        </w:rPr>
      </w:pPr>
    </w:p>
    <w:p w14:paraId="7DA192FF" w14:textId="3F0D08A9" w:rsidR="004C0800" w:rsidRPr="004C0800" w:rsidRDefault="004C0800" w:rsidP="004C0800">
      <w:pPr>
        <w:spacing w:line="240" w:lineRule="auto"/>
        <w:rPr>
          <w:rFonts w:ascii="PMingLiU" w:eastAsia="PMingLiU" w:hAnsi="PMingLiU"/>
          <w:u w:val="single"/>
        </w:rPr>
      </w:pPr>
      <w:r>
        <w:rPr>
          <w:rFonts w:ascii="PMingLiU" w:eastAsia="PMingLiU" w:hAnsi="PMingLiU"/>
        </w:rPr>
        <w:tab/>
      </w:r>
      <w:r>
        <w:rPr>
          <w:rFonts w:ascii="PMingLiU" w:eastAsia="PMingLiU" w:hAnsi="PMingLiU"/>
        </w:rPr>
        <w:tab/>
      </w:r>
      <w:r w:rsidRPr="004C0800">
        <w:rPr>
          <w:rFonts w:ascii="PMingLiU" w:eastAsia="PMingLiU" w:hAnsi="PMingLiU" w:hint="eastAsia"/>
          <w:u w:val="single"/>
        </w:rPr>
        <w:t xml:space="preserve">1.6. </w:t>
      </w:r>
      <w:r w:rsidRPr="004C0800">
        <w:rPr>
          <w:rFonts w:ascii="PMingLiU" w:eastAsia="PMingLiU" w:hAnsi="PMingLiU" w:hint="eastAsia"/>
          <w:u w:val="single"/>
        </w:rPr>
        <w:t>示範案例：林爽文事件</w:t>
      </w:r>
    </w:p>
    <w:p w14:paraId="3635C78A" w14:textId="27EB016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為展示本網站的研究方法及各項功能，本文將以林爽文事件作為示範案例，說明如何運用人工智能及數位人文技術分析清代官方文書，重建地方與中央之間的通信脈絡，並探討資訊傳遞如何影響歷史事件的發展。</w:t>
      </w:r>
    </w:p>
    <w:p w14:paraId="4834D9DD" w14:textId="77777777" w:rsidR="004C0800" w:rsidRPr="004C0800" w:rsidRDefault="004C0800" w:rsidP="004C0800">
      <w:pPr>
        <w:spacing w:line="240" w:lineRule="auto"/>
        <w:rPr>
          <w:rFonts w:ascii="PMingLiU" w:eastAsia="PMingLiU" w:hAnsi="PMingLiU"/>
        </w:rPr>
      </w:pPr>
    </w:p>
    <w:p w14:paraId="2E96E03B"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選取林爽文事件作為示範案例，主要有以下原因：</w:t>
      </w:r>
    </w:p>
    <w:p w14:paraId="6D251551" w14:textId="77777777" w:rsidR="004C0800" w:rsidRPr="004C0800" w:rsidRDefault="004C0800" w:rsidP="004C0800">
      <w:pPr>
        <w:spacing w:line="240" w:lineRule="auto"/>
        <w:rPr>
          <w:rFonts w:ascii="PMingLiU" w:eastAsia="PMingLiU" w:hAnsi="PMingLiU"/>
        </w:rPr>
      </w:pPr>
    </w:p>
    <w:p w14:paraId="1B3FCCA4" w14:textId="77777777" w:rsidR="004C0800" w:rsidRDefault="004C0800" w:rsidP="004C0800">
      <w:pPr>
        <w:spacing w:line="240" w:lineRule="auto"/>
        <w:rPr>
          <w:rFonts w:ascii="PMingLiU" w:eastAsia="PMingLiU" w:hAnsi="PMingLiU"/>
        </w:rPr>
      </w:pPr>
      <w:r w:rsidRPr="004C0800">
        <w:rPr>
          <w:rFonts w:ascii="PMingLiU" w:eastAsia="PMingLiU" w:hAnsi="PMingLiU" w:hint="eastAsia"/>
        </w:rPr>
        <w:t>第一，林爽文事件能充分展現通信在軍事決策中的重要性。</w:t>
      </w:r>
    </w:p>
    <w:p w14:paraId="36C7D45E" w14:textId="77777777" w:rsidR="004C0800" w:rsidRDefault="004C0800" w:rsidP="004C0800">
      <w:pPr>
        <w:spacing w:line="240" w:lineRule="auto"/>
        <w:rPr>
          <w:rFonts w:ascii="PMingLiU" w:eastAsia="PMingLiU" w:hAnsi="PMingLiU"/>
        </w:rPr>
      </w:pPr>
    </w:p>
    <w:p w14:paraId="69C420EE" w14:textId="799A7D5A"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林爽文事件是一場牽涉地方官員、前線將領及中央朝廷的重大軍事衝突。戰事期間，地方官員須持續透過奏摺向皇帝奏報軍情、兵力部署及戰場變化，而皇帝則根據奏報發布上諭，指示軍事部署及後續行動。因此，前線與中央之間的通信，不僅是資訊傳遞的過程，更是軍事決策形成的重要環節。</w:t>
      </w:r>
    </w:p>
    <w:p w14:paraId="24302CEB" w14:textId="77777777" w:rsidR="004C0800" w:rsidRPr="004C0800" w:rsidRDefault="004C0800" w:rsidP="004C0800">
      <w:pPr>
        <w:spacing w:line="240" w:lineRule="auto"/>
        <w:rPr>
          <w:rFonts w:ascii="PMingLiU" w:eastAsia="PMingLiU" w:hAnsi="PMingLiU"/>
        </w:rPr>
      </w:pPr>
    </w:p>
    <w:p w14:paraId="673800C5"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另一方面，由於清代臺灣與北京相距遙遠，奏摺與上諭的傳遞往往需時數星期，甚至一、兩個月。當皇帝收到奏摺時，前線局勢可能已經改變；而地方官員收到上諭時，原有的戰略部署亦可能需要重新調整。因此，林爽文事件不僅是一場戰爭，更是一個適合探討資訊傳遞時間差如何影響軍事判斷、決策形成，以及地方與中央權力互動的重要案例。</w:t>
      </w:r>
    </w:p>
    <w:p w14:paraId="6A8277C1" w14:textId="77777777" w:rsidR="004C0800" w:rsidRPr="004C0800" w:rsidRDefault="004C0800" w:rsidP="004C0800">
      <w:pPr>
        <w:spacing w:line="240" w:lineRule="auto"/>
        <w:rPr>
          <w:rFonts w:ascii="PMingLiU" w:eastAsia="PMingLiU" w:hAnsi="PMingLiU"/>
        </w:rPr>
      </w:pPr>
    </w:p>
    <w:p w14:paraId="6C9DABFE" w14:textId="3A9144E3"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第二，事件留下大量可互相對照的官方文書。林爽文事件保存了大量奏摺、上諭及其他官方文書，完整記錄地方官員向朝廷奏報軍情，以及皇帝回應、批示和部署軍事行動的過程。不同類型的文書之間能夠互相對照，研究者可藉此重建文書之間的回應關係、資訊傳遞過程及決策脈絡。</w:t>
      </w:r>
    </w:p>
    <w:p w14:paraId="77DC2A87" w14:textId="77777777" w:rsidR="004C0800" w:rsidRPr="004C0800" w:rsidRDefault="004C0800" w:rsidP="004C0800">
      <w:pPr>
        <w:spacing w:line="240" w:lineRule="auto"/>
        <w:rPr>
          <w:rFonts w:ascii="PMingLiU" w:eastAsia="PMingLiU" w:hAnsi="PMingLiU"/>
        </w:rPr>
      </w:pPr>
    </w:p>
    <w:p w14:paraId="5458759A"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本研究所使用的奏摺主要收錄於臺灣史料集成編輯委員會編《明清臺灣檔案彙編》，上諭則主要收錄於中國人民大學清史研究所、中國第一歷史檔案館編《天地會》。這些史料已由當代學者整理、校勘及彙編出版，不僅保存了文書原文，也保留文件類型、日期、硃批及其他重要資訊，為運用人工智能及數位人文技術分析官方文書提供了完整而可靠的研究材料。</w:t>
      </w:r>
    </w:p>
    <w:p w14:paraId="60A478D3" w14:textId="77777777" w:rsidR="004C0800" w:rsidRDefault="004C0800" w:rsidP="004C0800">
      <w:pPr>
        <w:spacing w:line="240" w:lineRule="auto"/>
        <w:rPr>
          <w:rFonts w:ascii="PMingLiU" w:eastAsia="PMingLiU" w:hAnsi="PMingLiU"/>
        </w:rPr>
      </w:pPr>
      <w:r w:rsidRPr="004C0800">
        <w:rPr>
          <w:rFonts w:ascii="PMingLiU" w:eastAsia="PMingLiU" w:hAnsi="PMingLiU"/>
        </w:rPr>
        <w:lastRenderedPageBreak/>
        <w:t> </w:t>
      </w:r>
    </w:p>
    <w:p w14:paraId="11EF1C50" w14:textId="1D1DD80C" w:rsidR="004C0800" w:rsidRDefault="004C0800">
      <w:pPr>
        <w:rPr>
          <w:rFonts w:ascii="PMingLiU" w:eastAsia="PMingLiU" w:hAnsi="PMingLiU"/>
        </w:rPr>
      </w:pPr>
      <w:r>
        <w:rPr>
          <w:rFonts w:ascii="PMingLiU" w:eastAsia="PMingLiU" w:hAnsi="PMingLiU"/>
        </w:rPr>
        <w:br w:type="page"/>
      </w:r>
    </w:p>
    <w:p w14:paraId="228DC5CA" w14:textId="21F1A9C8" w:rsidR="004C0800" w:rsidRPr="004C0800" w:rsidRDefault="004C0800" w:rsidP="004C0800">
      <w:pPr>
        <w:spacing w:line="240" w:lineRule="auto"/>
        <w:rPr>
          <w:rFonts w:ascii="PMingLiU" w:eastAsia="PMingLiU" w:hAnsi="PMingLiU" w:hint="eastAsia"/>
          <w:b/>
          <w:bCs/>
        </w:rPr>
      </w:pPr>
      <w:r>
        <w:rPr>
          <w:rFonts w:ascii="PMingLiU" w:eastAsia="PMingLiU" w:hAnsi="PMingLiU"/>
        </w:rPr>
        <w:lastRenderedPageBreak/>
        <w:tab/>
      </w:r>
      <w:r>
        <w:rPr>
          <w:rFonts w:ascii="PMingLiU" w:eastAsia="PMingLiU" w:hAnsi="PMingLiU" w:hint="eastAsia"/>
          <w:b/>
          <w:bCs/>
        </w:rPr>
        <w:t>2</w:t>
      </w:r>
      <w:r w:rsidRPr="004C0800">
        <w:rPr>
          <w:rFonts w:ascii="PMingLiU" w:eastAsia="PMingLiU" w:hAnsi="PMingLiU" w:hint="eastAsia"/>
          <w:b/>
          <w:bCs/>
        </w:rPr>
        <w:t xml:space="preserve">. </w:t>
      </w:r>
      <w:r>
        <w:rPr>
          <w:rFonts w:ascii="PMingLiU" w:eastAsia="PMingLiU" w:hAnsi="PMingLiU" w:hint="eastAsia"/>
          <w:b/>
          <w:bCs/>
        </w:rPr>
        <w:t>正文</w:t>
      </w:r>
    </w:p>
    <w:p w14:paraId="1CF5F391" w14:textId="77777777" w:rsidR="004C0800" w:rsidRDefault="004C0800" w:rsidP="004C0800">
      <w:pPr>
        <w:spacing w:line="240" w:lineRule="auto"/>
        <w:rPr>
          <w:rFonts w:ascii="PMingLiU" w:eastAsia="PMingLiU" w:hAnsi="PMingLiU"/>
        </w:rPr>
      </w:pPr>
    </w:p>
    <w:p w14:paraId="41049F93" w14:textId="2B97006E" w:rsidR="004C0800" w:rsidRPr="004C0800" w:rsidRDefault="004C0800" w:rsidP="004C0800">
      <w:pPr>
        <w:spacing w:line="240" w:lineRule="auto"/>
        <w:rPr>
          <w:rFonts w:ascii="PMingLiU" w:eastAsia="PMingLiU" w:hAnsi="PMingLiU"/>
          <w:u w:val="single"/>
        </w:rPr>
      </w:pPr>
      <w:r>
        <w:rPr>
          <w:rFonts w:ascii="PMingLiU" w:eastAsia="PMingLiU" w:hAnsi="PMingLiU"/>
        </w:rPr>
        <w:tab/>
      </w:r>
      <w:r>
        <w:rPr>
          <w:rFonts w:ascii="PMingLiU" w:eastAsia="PMingLiU" w:hAnsi="PMingLiU"/>
        </w:rPr>
        <w:tab/>
      </w:r>
      <w:r w:rsidRPr="004C0800">
        <w:rPr>
          <w:rFonts w:ascii="PMingLiU" w:eastAsia="PMingLiU" w:hAnsi="PMingLiU" w:hint="eastAsia"/>
          <w:u w:val="single"/>
        </w:rPr>
        <w:t>1. 「</w:t>
      </w:r>
      <w:r w:rsidRPr="004C0800">
        <w:rPr>
          <w:rFonts w:ascii="PMingLiU" w:eastAsia="PMingLiU" w:hAnsi="PMingLiU" w:hint="eastAsia"/>
          <w:u w:val="single"/>
        </w:rPr>
        <w:t>清代奏摺與上諭分析平台</w:t>
      </w:r>
      <w:r w:rsidRPr="004C0800">
        <w:rPr>
          <w:rFonts w:ascii="PMingLiU" w:eastAsia="PMingLiU" w:hAnsi="PMingLiU" w:hint="eastAsia"/>
          <w:u w:val="single"/>
        </w:rPr>
        <w:t>」的運行流程</w:t>
      </w:r>
    </w:p>
    <w:p w14:paraId="37F4E37F"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首先，利用AI總結長篇文本，並提取指定資訊。研究者可以先用AI總結每一份奏折與上諭，再閱讀AI生成的摘要，快速判斷文書是否包含值得深入分析的資訊，能據此決定是否深入閱讀該篇文書，從而減少閱讀材料的時間。</w:t>
      </w:r>
    </w:p>
    <w:p w14:paraId="48C84F16" w14:textId="77777777" w:rsidR="004C0800" w:rsidRPr="004C0800" w:rsidRDefault="004C0800" w:rsidP="004C0800">
      <w:pPr>
        <w:spacing w:line="240" w:lineRule="auto"/>
        <w:rPr>
          <w:rFonts w:ascii="PMingLiU" w:eastAsia="PMingLiU" w:hAnsi="PMingLiU"/>
        </w:rPr>
      </w:pPr>
    </w:p>
    <w:p w14:paraId="478ED190"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其次，研究者可以按照不同研究問題設計不同的人工智能技能（AI Skills），讓AI提取指定資訊。例如，在研究戰爭時，可以設計Skills，分別提取敵方軍事行動、清軍軍事行動、行動的消息來源等的資訊。</w:t>
      </w:r>
    </w:p>
    <w:p w14:paraId="4D0A6198" w14:textId="77777777" w:rsidR="004C0800" w:rsidRPr="004C0800" w:rsidRDefault="004C0800" w:rsidP="004C0800">
      <w:pPr>
        <w:spacing w:line="240" w:lineRule="auto"/>
        <w:rPr>
          <w:rFonts w:ascii="PMingLiU" w:eastAsia="PMingLiU" w:hAnsi="PMingLiU"/>
        </w:rPr>
      </w:pPr>
    </w:p>
    <w:p w14:paraId="224EEDB8"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每項Skills的結果都會包括原文引文及來源資料，確保研究者能夠追溯結果至原始文書的具體位置，並核對是否準確。</w:t>
      </w:r>
    </w:p>
    <w:p w14:paraId="49027C17" w14:textId="77777777" w:rsidR="004C0800" w:rsidRPr="004C0800" w:rsidRDefault="004C0800" w:rsidP="004C0800">
      <w:pPr>
        <w:spacing w:line="240" w:lineRule="auto"/>
        <w:rPr>
          <w:rFonts w:ascii="PMingLiU" w:eastAsia="PMingLiU" w:hAnsi="PMingLiU"/>
        </w:rPr>
      </w:pPr>
    </w:p>
    <w:p w14:paraId="7F5F6CCC"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另外，AI會輪出結構化的資料，方便載入至前端的網站，與原文並排顯示，讓研究者逐項閱讀和核對人工智能的分析，並選擇保留、修改或拒絕AI輪出的結果。</w:t>
      </w:r>
    </w:p>
    <w:p w14:paraId="0ADDC446" w14:textId="77777777" w:rsidR="004C0800" w:rsidRPr="004C0800" w:rsidRDefault="004C0800" w:rsidP="004C0800">
      <w:pPr>
        <w:spacing w:line="240" w:lineRule="auto"/>
        <w:rPr>
          <w:rFonts w:ascii="PMingLiU" w:eastAsia="PMingLiU" w:hAnsi="PMingLiU"/>
        </w:rPr>
      </w:pPr>
    </w:p>
    <w:p w14:paraId="78BF7623"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研究者也能利用數位工具重建和視覺化文本中的通信關係。首先，使用AI架設網站，展示兩條時間線：第一條顯示官員發出奏摺的時間，第二條顯示皇帝收到奏摺、作出硃批以及發布上諭的時間。這些資料根據奏折和上諭中已有的發出日期，以及奏折中的硃批日期整理而成，以此呈現中央與地方之間的第一層通訊關係。</w:t>
      </w:r>
    </w:p>
    <w:p w14:paraId="64240C35" w14:textId="77777777" w:rsidR="004C0800" w:rsidRPr="004C0800" w:rsidRDefault="004C0800" w:rsidP="004C0800">
      <w:pPr>
        <w:spacing w:line="240" w:lineRule="auto"/>
        <w:rPr>
          <w:rFonts w:ascii="PMingLiU" w:eastAsia="PMingLiU" w:hAnsi="PMingLiU"/>
        </w:rPr>
      </w:pPr>
    </w:p>
    <w:p w14:paraId="55F531E2"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其次，利用 Python 搜尋奏摺和上諭中的特定字眼，以辨識更深層的通信關係。例如，透過搜尋「據……奏」的字眼，判斷某道上諭所回應的官員奏摺；用「奉上諭」、「奉聖諭」、「奉硃批」、「奉廷寄」等字眼，判斷某份奏摺所回應的上諭。至於沒有標示上述字眼的文書，亦可以利用AI按照文本語義搜尋可能的對應文書，減少遺漏。</w:t>
      </w:r>
    </w:p>
    <w:p w14:paraId="3A8782C5" w14:textId="77777777" w:rsidR="004C0800" w:rsidRPr="004C0800" w:rsidRDefault="004C0800" w:rsidP="004C0800">
      <w:pPr>
        <w:spacing w:line="240" w:lineRule="auto"/>
        <w:rPr>
          <w:rFonts w:ascii="PMingLiU" w:eastAsia="PMingLiU" w:hAnsi="PMingLiU"/>
        </w:rPr>
      </w:pPr>
    </w:p>
    <w:p w14:paraId="7BB086F8"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此外，圖表中另外還有兩條線，分別用來呈現官員奏報的事件或資訊，以及皇帝在硃批或上諭中的評論和命令。這些節點由上述特定的人工智能技能生成。人工智能技能會從文本中提取相關資訊，並提供主題句、詳細描述、原文引文及日期；待研究者核對並批准結果後，網站的系統便會在相應的圖表線上新增節點。</w:t>
      </w:r>
    </w:p>
    <w:p w14:paraId="3E36DC45" w14:textId="77777777" w:rsidR="004C0800" w:rsidRPr="004C0800" w:rsidRDefault="004C0800" w:rsidP="004C0800">
      <w:pPr>
        <w:spacing w:line="240" w:lineRule="auto"/>
        <w:rPr>
          <w:rFonts w:ascii="PMingLiU" w:eastAsia="PMingLiU" w:hAnsi="PMingLiU"/>
        </w:rPr>
      </w:pPr>
    </w:p>
    <w:p w14:paraId="59AD066D" w14:textId="77777777" w:rsidR="004C0800" w:rsidRPr="004C0800" w:rsidRDefault="004C0800" w:rsidP="004C0800">
      <w:pPr>
        <w:spacing w:line="240" w:lineRule="auto"/>
        <w:rPr>
          <w:rFonts w:ascii="PMingLiU" w:eastAsia="PMingLiU" w:hAnsi="PMingLiU" w:hint="eastAsia"/>
        </w:rPr>
      </w:pPr>
      <w:r w:rsidRPr="004C0800">
        <w:rPr>
          <w:rFonts w:ascii="PMingLiU" w:eastAsia="PMingLiU" w:hAnsi="PMingLiU" w:hint="eastAsia"/>
        </w:rPr>
        <w:t>圖表上的第一條線代表事件實際發生的時間。事件節點可以連接至官員奏報節點，表示該事件何時由哪一份奏摺上報；官員奏報節點再可以連接至硃批或上諭節點，表示皇帝何時收到並回應相關資訊。硃批或上諭節點亦可以連接至皇帝行動節點，呈現皇</w:t>
      </w:r>
      <w:r w:rsidRPr="004C0800">
        <w:rPr>
          <w:rFonts w:ascii="PMingLiU" w:eastAsia="PMingLiU" w:hAnsi="PMingLiU" w:hint="eastAsia"/>
        </w:rPr>
        <w:lastRenderedPageBreak/>
        <w:t>帝就該項資訊作出的命令、評論或其他行動。最後，皇帝行動節點還可以連接至後續的官員奏摺，顯示地方官員何時回應或執行皇帝的命令。如此一來，圖表便能將不同層次的通信關係連接起來。</w:t>
      </w:r>
    </w:p>
    <w:p w14:paraId="5DDC68C0" w14:textId="77777777" w:rsidR="004C0800" w:rsidRPr="004C0800" w:rsidRDefault="004C0800" w:rsidP="004C0800">
      <w:pPr>
        <w:spacing w:line="240" w:lineRule="auto"/>
        <w:rPr>
          <w:rFonts w:ascii="PMingLiU" w:eastAsia="PMingLiU" w:hAnsi="PMingLiU"/>
        </w:rPr>
      </w:pPr>
    </w:p>
    <w:p w14:paraId="6BAB6FD4" w14:textId="77777777" w:rsidR="004C0800" w:rsidRPr="004C0800" w:rsidRDefault="004C0800" w:rsidP="004C0800">
      <w:pPr>
        <w:spacing w:line="240" w:lineRule="auto"/>
        <w:rPr>
          <w:rFonts w:ascii="PMingLiU" w:eastAsia="PMingLiU" w:hAnsi="PMingLiU"/>
        </w:rPr>
      </w:pPr>
      <w:r w:rsidRPr="004C0800">
        <w:rPr>
          <w:rFonts w:ascii="PMingLiU" w:eastAsia="PMingLiU" w:hAnsi="PMingLiU"/>
        </w:rPr>
        <w:t> </w:t>
      </w:r>
    </w:p>
    <w:p w14:paraId="6A8C5B09" w14:textId="77777777" w:rsidR="004C0800" w:rsidRPr="004C0800" w:rsidRDefault="004C0800" w:rsidP="004C0800">
      <w:pPr>
        <w:spacing w:line="240" w:lineRule="auto"/>
        <w:rPr>
          <w:rFonts w:ascii="PMingLiU" w:eastAsia="PMingLiU" w:hAnsi="PMingLiU"/>
        </w:rPr>
      </w:pPr>
    </w:p>
    <w:p w14:paraId="7A309536" w14:textId="77777777" w:rsidR="006535F1" w:rsidRPr="004C0800" w:rsidRDefault="006535F1" w:rsidP="004C0800">
      <w:pPr>
        <w:spacing w:line="240" w:lineRule="auto"/>
        <w:rPr>
          <w:rFonts w:ascii="PMingLiU" w:eastAsia="PMingLiU" w:hAnsi="PMingLiU"/>
        </w:rPr>
      </w:pPr>
    </w:p>
    <w:sectPr w:rsidR="006535F1" w:rsidRPr="004C08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800"/>
    <w:rsid w:val="00195A61"/>
    <w:rsid w:val="00287395"/>
    <w:rsid w:val="00333E03"/>
    <w:rsid w:val="004C0800"/>
    <w:rsid w:val="00545D16"/>
    <w:rsid w:val="006535F1"/>
    <w:rsid w:val="006D65B6"/>
    <w:rsid w:val="007D2986"/>
    <w:rsid w:val="008E4B3D"/>
    <w:rsid w:val="00A314EC"/>
    <w:rsid w:val="00B83FDB"/>
    <w:rsid w:val="00D9406D"/>
    <w:rsid w:val="00DC4DC2"/>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3C4E541"/>
  <w15:chartTrackingRefBased/>
  <w15:docId w15:val="{382CBF10-BFDE-454D-B81B-D6C53C668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08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08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08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08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08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0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0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0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0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08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08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0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0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0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0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0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0800"/>
    <w:rPr>
      <w:rFonts w:eastAsiaTheme="majorEastAsia" w:cstheme="majorBidi"/>
      <w:color w:val="272727" w:themeColor="text1" w:themeTint="D8"/>
    </w:rPr>
  </w:style>
  <w:style w:type="paragraph" w:styleId="Title">
    <w:name w:val="Title"/>
    <w:basedOn w:val="Normal"/>
    <w:next w:val="Normal"/>
    <w:link w:val="TitleChar"/>
    <w:uiPriority w:val="10"/>
    <w:qFormat/>
    <w:rsid w:val="004C0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0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0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0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0800"/>
    <w:pPr>
      <w:spacing w:before="160"/>
      <w:jc w:val="center"/>
    </w:pPr>
    <w:rPr>
      <w:i/>
      <w:iCs/>
      <w:color w:val="404040" w:themeColor="text1" w:themeTint="BF"/>
    </w:rPr>
  </w:style>
  <w:style w:type="character" w:customStyle="1" w:styleId="QuoteChar">
    <w:name w:val="Quote Char"/>
    <w:basedOn w:val="DefaultParagraphFont"/>
    <w:link w:val="Quote"/>
    <w:uiPriority w:val="29"/>
    <w:rsid w:val="004C0800"/>
    <w:rPr>
      <w:i/>
      <w:iCs/>
      <w:color w:val="404040" w:themeColor="text1" w:themeTint="BF"/>
    </w:rPr>
  </w:style>
  <w:style w:type="paragraph" w:styleId="ListParagraph">
    <w:name w:val="List Paragraph"/>
    <w:basedOn w:val="Normal"/>
    <w:uiPriority w:val="34"/>
    <w:qFormat/>
    <w:rsid w:val="004C0800"/>
    <w:pPr>
      <w:ind w:left="720"/>
      <w:contextualSpacing/>
    </w:pPr>
  </w:style>
  <w:style w:type="character" w:styleId="IntenseEmphasis">
    <w:name w:val="Intense Emphasis"/>
    <w:basedOn w:val="DefaultParagraphFont"/>
    <w:uiPriority w:val="21"/>
    <w:qFormat/>
    <w:rsid w:val="004C0800"/>
    <w:rPr>
      <w:i/>
      <w:iCs/>
      <w:color w:val="0F4761" w:themeColor="accent1" w:themeShade="BF"/>
    </w:rPr>
  </w:style>
  <w:style w:type="paragraph" w:styleId="IntenseQuote">
    <w:name w:val="Intense Quote"/>
    <w:basedOn w:val="Normal"/>
    <w:next w:val="Normal"/>
    <w:link w:val="IntenseQuoteChar"/>
    <w:uiPriority w:val="30"/>
    <w:qFormat/>
    <w:rsid w:val="004C0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0800"/>
    <w:rPr>
      <w:i/>
      <w:iCs/>
      <w:color w:val="0F4761" w:themeColor="accent1" w:themeShade="BF"/>
    </w:rPr>
  </w:style>
  <w:style w:type="character" w:styleId="IntenseReference">
    <w:name w:val="Intense Reference"/>
    <w:basedOn w:val="DefaultParagraphFont"/>
    <w:uiPriority w:val="32"/>
    <w:qFormat/>
    <w:rsid w:val="004C08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581</Words>
  <Characters>3314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Kai Wang [Alumni]</dc:creator>
  <cp:keywords/>
  <dc:description/>
  <cp:lastModifiedBy>LIU, Kai Wang [Alumni]</cp:lastModifiedBy>
  <cp:revision>1</cp:revision>
  <dcterms:created xsi:type="dcterms:W3CDTF">2026-07-27T02:54:00Z</dcterms:created>
  <dcterms:modified xsi:type="dcterms:W3CDTF">2026-07-27T03:18:00Z</dcterms:modified>
</cp:coreProperties>
</file>