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2FC2" w14:textId="77777777" w:rsidR="006360C9" w:rsidRPr="006360C9" w:rsidRDefault="006360C9" w:rsidP="006360C9">
      <w:pPr>
        <w:spacing w:after="0" w:line="240" w:lineRule="auto"/>
        <w:rPr>
          <w:rFonts w:ascii="PMingLiU" w:eastAsia="PMingLiU" w:hAnsi="PMingLiU"/>
          <w:sz w:val="22"/>
          <w:szCs w:val="22"/>
        </w:rPr>
      </w:pPr>
    </w:p>
    <w:p w14:paraId="45D0FE91" w14:textId="77777777" w:rsidR="006360C9" w:rsidRPr="006360C9" w:rsidRDefault="006360C9" w:rsidP="006360C9">
      <w:pPr>
        <w:spacing w:after="0" w:line="240" w:lineRule="auto"/>
        <w:rPr>
          <w:rFonts w:ascii="PMingLiU" w:eastAsia="PMingLiU" w:hAnsi="PMingLiU" w:hint="eastAsia"/>
          <w:sz w:val="22"/>
          <w:szCs w:val="22"/>
        </w:rPr>
      </w:pPr>
      <w:r w:rsidRPr="006360C9">
        <w:rPr>
          <w:rFonts w:ascii="PMingLiU" w:eastAsia="PMingLiU" w:hAnsi="PMingLiU"/>
          <w:sz w:val="22"/>
          <w:szCs w:val="22"/>
        </w:rPr>
        <w:tab/>
      </w:r>
      <w:r w:rsidRPr="006360C9">
        <w:rPr>
          <w:rFonts w:ascii="PMingLiU" w:eastAsia="PMingLiU" w:hAnsi="PMingLiU" w:hint="eastAsia"/>
          <w:sz w:val="22"/>
          <w:szCs w:val="22"/>
        </w:rPr>
        <w:t>1. 前人研究</w:t>
      </w:r>
    </w:p>
    <w:p w14:paraId="7DC2D96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此七篇中關於台灣政治制度史的林聖芬的「清代台灣之團練制度」、張舜華的「台灣官制中「道」的研究」和許雪姬的「清代台灣武備制度的研究—台灣的綠營」三篇而已。</w:t>
      </w:r>
    </w:p>
    <w:p w14:paraId="371AAD9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5815E3B" w14:textId="77777777" w:rsidR="006360C9" w:rsidRPr="006360C9" w:rsidRDefault="006360C9" w:rsidP="006360C9">
      <w:pPr>
        <w:spacing w:after="0" w:line="240" w:lineRule="auto"/>
        <w:rPr>
          <w:rFonts w:ascii="PMingLiU" w:eastAsia="PMingLiU" w:hAnsi="PMingLiU"/>
          <w:sz w:val="22"/>
          <w:szCs w:val="22"/>
        </w:rPr>
      </w:pPr>
    </w:p>
    <w:p w14:paraId="1F08CD0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目前有關的文章，有謝國誠的「台灣行政機構史論—從地政治學看台灣行政機構」、王金連的「清代的台灣行政組織」、夏承鉞的「明清兩代的台灣郡縣建置」、金鑠的「清代台灣文官制度之研究」、戴炎輝的「清代地方官治的組織及其實際運用」蘇同炳的「清乾隆時台灣各廳縣衙門的組織與職掌研究」和其他學者專家的論著，於此不一一列舉。</w:t>
      </w:r>
    </w:p>
    <w:p w14:paraId="2FAD9BD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23F95D1" w14:textId="77777777" w:rsidR="006360C9" w:rsidRPr="006360C9" w:rsidRDefault="006360C9" w:rsidP="006360C9">
      <w:pPr>
        <w:spacing w:after="0" w:line="240" w:lineRule="auto"/>
        <w:rPr>
          <w:rFonts w:ascii="PMingLiU" w:eastAsia="PMingLiU" w:hAnsi="PMingLiU"/>
          <w:sz w:val="22"/>
          <w:szCs w:val="22"/>
        </w:rPr>
      </w:pPr>
    </w:p>
    <w:p w14:paraId="4C633430" w14:textId="77777777" w:rsidR="006360C9" w:rsidRPr="006360C9" w:rsidRDefault="006360C9" w:rsidP="006360C9">
      <w:pPr>
        <w:spacing w:after="0" w:line="240" w:lineRule="auto"/>
        <w:rPr>
          <w:rFonts w:ascii="PMingLiU" w:eastAsia="PMingLiU" w:hAnsi="PMingLiU" w:hint="eastAsia"/>
          <w:sz w:val="22"/>
          <w:szCs w:val="22"/>
        </w:rPr>
      </w:pPr>
      <w:r w:rsidRPr="006360C9">
        <w:rPr>
          <w:rFonts w:ascii="PMingLiU" w:eastAsia="PMingLiU" w:hAnsi="PMingLiU"/>
          <w:sz w:val="22"/>
          <w:szCs w:val="22"/>
        </w:rPr>
        <w:tab/>
      </w:r>
      <w:r w:rsidRPr="006360C9">
        <w:rPr>
          <w:rFonts w:ascii="PMingLiU" w:eastAsia="PMingLiU" w:hAnsi="PMingLiU" w:hint="eastAsia"/>
          <w:sz w:val="22"/>
          <w:szCs w:val="22"/>
        </w:rPr>
        <w:t>2. 內容大要</w:t>
      </w:r>
    </w:p>
    <w:p w14:paraId="14D5F74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本論文擬分成廳縣管轄區之劃定與調整，廳縣衙門及其附屬衙門的組織與職掌、廳縣之經費使用分配狀況、廳縣官員和差役之待遇、官員之任用與出身等項目來探討。</w:t>
      </w:r>
    </w:p>
    <w:p w14:paraId="6F7CDAA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3DC18EC" w14:textId="77777777" w:rsidR="006360C9" w:rsidRPr="006360C9" w:rsidRDefault="006360C9" w:rsidP="006360C9">
      <w:pPr>
        <w:spacing w:after="0" w:line="240" w:lineRule="auto"/>
        <w:rPr>
          <w:rFonts w:ascii="PMingLiU" w:eastAsia="PMingLiU" w:hAnsi="PMingLiU"/>
          <w:sz w:val="22"/>
          <w:szCs w:val="22"/>
        </w:rPr>
      </w:pPr>
    </w:p>
    <w:p w14:paraId="4DB4E5A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進一步的說，將於論文中探究清廷在何動機和狀況下，依何種準則來劃定和調整廳縣轄區，每次調整廳縣轄區時，清廷的動機、立場態度和所依的準則如何；各廳縣間的組織、編制和職掌如何，其組織和職掌在不同時代的變化情形；</w:t>
      </w:r>
    </w:p>
    <w:p w14:paraId="2FDC3D2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F2294BA" w14:textId="77777777" w:rsidR="006360C9" w:rsidRPr="006360C9" w:rsidRDefault="006360C9" w:rsidP="006360C9">
      <w:pPr>
        <w:spacing w:after="0" w:line="240" w:lineRule="auto"/>
        <w:rPr>
          <w:rFonts w:ascii="PMingLiU" w:eastAsia="PMingLiU" w:hAnsi="PMingLiU"/>
          <w:sz w:val="22"/>
          <w:szCs w:val="22"/>
        </w:rPr>
      </w:pPr>
    </w:p>
    <w:p w14:paraId="5CB066B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同樣將透過統計數據探討各廳縣官員、差役之待遇、官員之任用與出身等有無時代性和地區性的差異等諸問題。</w:t>
      </w:r>
    </w:p>
    <w:p w14:paraId="7660FE0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1FD3473" w14:textId="77777777" w:rsidR="006360C9" w:rsidRPr="006360C9" w:rsidRDefault="006360C9" w:rsidP="006360C9">
      <w:pPr>
        <w:spacing w:after="0" w:line="240" w:lineRule="auto"/>
        <w:rPr>
          <w:rFonts w:ascii="PMingLiU" w:eastAsia="PMingLiU" w:hAnsi="PMingLiU" w:cstheme="majorBidi"/>
          <w:iCs/>
          <w:color w:val="000000" w:themeColor="text1"/>
          <w:sz w:val="22"/>
          <w:szCs w:val="22"/>
        </w:rPr>
      </w:pPr>
      <w:r w:rsidRPr="006360C9">
        <w:rPr>
          <w:rFonts w:ascii="PMingLiU" w:eastAsia="PMingLiU" w:hAnsi="PMingLiU"/>
          <w:sz w:val="22"/>
          <w:szCs w:val="22"/>
        </w:rPr>
        <w:br w:type="page"/>
      </w:r>
    </w:p>
    <w:p w14:paraId="3021079E" w14:textId="123CE6A6" w:rsidR="006360C9" w:rsidRDefault="006360C9" w:rsidP="006360C9">
      <w:pPr>
        <w:spacing w:after="0" w:line="240" w:lineRule="auto"/>
        <w:rPr>
          <w:rFonts w:ascii="PMingLiU" w:eastAsia="PMingLiU" w:hAnsi="PMingLiU"/>
          <w:sz w:val="22"/>
          <w:szCs w:val="22"/>
        </w:rPr>
      </w:pPr>
      <w:r w:rsidRPr="006360C9">
        <w:rPr>
          <w:rFonts w:ascii="PMingLiU" w:eastAsia="PMingLiU" w:hAnsi="PMingLiU"/>
          <w:sz w:val="22"/>
          <w:szCs w:val="22"/>
        </w:rPr>
        <w:lastRenderedPageBreak/>
        <w:tab/>
      </w:r>
      <w:r w:rsidRPr="006360C9">
        <w:rPr>
          <w:rFonts w:ascii="PMingLiU" w:eastAsia="PMingLiU" w:hAnsi="PMingLiU" w:hint="eastAsia"/>
          <w:sz w:val="22"/>
          <w:szCs w:val="22"/>
        </w:rPr>
        <w:t>1. 康熙二十三年知縣轄區之劃定</w:t>
      </w:r>
    </w:p>
    <w:p w14:paraId="1B446CC6" w14:textId="2B0D9AA8" w:rsidR="006360C9" w:rsidRDefault="006360C9" w:rsidP="006360C9">
      <w:pPr>
        <w:spacing w:after="0" w:line="240" w:lineRule="auto"/>
        <w:rPr>
          <w:rFonts w:ascii="PMingLiU" w:eastAsia="PMingLiU" w:hAnsi="PMingLiU"/>
          <w:sz w:val="22"/>
          <w:szCs w:val="22"/>
        </w:rPr>
      </w:pPr>
      <w:r>
        <w:rPr>
          <w:rFonts w:ascii="PMingLiU" w:eastAsia="PMingLiU" w:hAnsi="PMingLiU"/>
          <w:sz w:val="22"/>
          <w:szCs w:val="22"/>
        </w:rPr>
        <w:tab/>
      </w:r>
    </w:p>
    <w:p w14:paraId="3CA433DC" w14:textId="490023E0" w:rsidR="006360C9" w:rsidRPr="006360C9" w:rsidRDefault="006360C9" w:rsidP="006360C9">
      <w:pPr>
        <w:spacing w:after="0" w:line="240" w:lineRule="auto"/>
        <w:rPr>
          <w:rFonts w:ascii="PMingLiU" w:eastAsia="PMingLiU" w:hAnsi="PMingLiU" w:hint="eastAsia"/>
          <w:sz w:val="22"/>
          <w:szCs w:val="22"/>
        </w:rPr>
      </w:pPr>
      <w:r>
        <w:rPr>
          <w:rFonts w:ascii="PMingLiU" w:eastAsia="PMingLiU" w:hAnsi="PMingLiU"/>
          <w:sz w:val="22"/>
          <w:szCs w:val="22"/>
        </w:rPr>
        <w:tab/>
      </w:r>
      <w:r>
        <w:rPr>
          <w:rFonts w:ascii="PMingLiU" w:eastAsia="PMingLiU" w:hAnsi="PMingLiU"/>
          <w:sz w:val="22"/>
          <w:szCs w:val="22"/>
        </w:rPr>
        <w:tab/>
      </w:r>
      <w:r>
        <w:rPr>
          <w:rFonts w:ascii="PMingLiU" w:eastAsia="PMingLiU" w:hAnsi="PMingLiU" w:hint="eastAsia"/>
          <w:sz w:val="22"/>
          <w:szCs w:val="22"/>
        </w:rPr>
        <w:t xml:space="preserve">1. </w:t>
      </w:r>
    </w:p>
    <w:p w14:paraId="7E2E118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西元十七世紀初葉，漸有大量漢人移民到台灣，但到明永曆十五年（清順治十八年、西元一六六一年）以後才開始有漢人在此建立政權。</w:t>
      </w:r>
    </w:p>
    <w:p w14:paraId="4864A0F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7812ED4" w14:textId="77777777" w:rsidR="006360C9" w:rsidRPr="006360C9" w:rsidRDefault="006360C9" w:rsidP="006360C9">
      <w:pPr>
        <w:spacing w:after="0" w:line="240" w:lineRule="auto"/>
        <w:rPr>
          <w:rFonts w:ascii="PMingLiU" w:eastAsia="PMingLiU" w:hAnsi="PMingLiU"/>
          <w:sz w:val="22"/>
          <w:szCs w:val="22"/>
        </w:rPr>
      </w:pPr>
    </w:p>
    <w:p w14:paraId="11EE4CD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明季滿人入關，明延平郡王鄭成功以金門和廈門為根據地，勤王抗清。永曆十四年，鄭氏北伐失敗，乃採何斌之建議，計劃東征台灣。次年四月，鄭氏率軍登陸台灣，準備以台灣做為反清復明之基地。</w:t>
      </w:r>
    </w:p>
    <w:p w14:paraId="7E06951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D919985" w14:textId="77777777" w:rsidR="006360C9" w:rsidRPr="006360C9" w:rsidRDefault="006360C9" w:rsidP="006360C9">
      <w:pPr>
        <w:spacing w:after="0" w:line="240" w:lineRule="auto"/>
        <w:rPr>
          <w:rFonts w:ascii="PMingLiU" w:eastAsia="PMingLiU" w:hAnsi="PMingLiU"/>
          <w:sz w:val="22"/>
          <w:szCs w:val="22"/>
        </w:rPr>
      </w:pPr>
    </w:p>
    <w:p w14:paraId="35BB762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同年五月，鄭氏在台設置一府二縣。府為承天府，縣為天興縣和萬年縣（註</w:t>
      </w:r>
      <w:r w:rsidRPr="006360C9">
        <w:rPr>
          <w:rFonts w:ascii="PMingLiU" w:eastAsia="PMingLiU" w:hAnsi="PMingLiU"/>
          <w:sz w:val="22"/>
          <w:szCs w:val="22"/>
        </w:rPr>
        <w:t>1</w:t>
      </w:r>
      <w:r w:rsidRPr="006360C9">
        <w:rPr>
          <w:rFonts w:ascii="PMingLiU" w:eastAsia="PMingLiU" w:hAnsi="PMingLiU" w:hint="eastAsia"/>
          <w:sz w:val="22"/>
          <w:szCs w:val="22"/>
        </w:rPr>
        <w:t>），是爲台灣郡縣制度之開始。</w:t>
      </w:r>
    </w:p>
    <w:p w14:paraId="73B1AE0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26D60C4" w14:textId="77777777" w:rsidR="006360C9" w:rsidRPr="006360C9" w:rsidRDefault="006360C9" w:rsidP="006360C9">
      <w:pPr>
        <w:spacing w:after="0" w:line="240" w:lineRule="auto"/>
        <w:rPr>
          <w:rFonts w:ascii="PMingLiU" w:eastAsia="PMingLiU" w:hAnsi="PMingLiU"/>
          <w:sz w:val="22"/>
          <w:szCs w:val="22"/>
        </w:rPr>
      </w:pPr>
    </w:p>
    <w:p w14:paraId="3925F12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未幾鄭成功去逝，其子鄭經平定其反對勢力之後繼為延平郡王。鄭經繼王位之後，改台灣之縣為州，並設南路、北路和澎湖三安撫司（註</w:t>
      </w:r>
      <w:r w:rsidRPr="006360C9">
        <w:rPr>
          <w:rFonts w:ascii="PMingLiU" w:eastAsia="PMingLiU" w:hAnsi="PMingLiU"/>
          <w:sz w:val="22"/>
          <w:szCs w:val="22"/>
        </w:rPr>
        <w:t>2</w:t>
      </w:r>
      <w:r w:rsidRPr="006360C9">
        <w:rPr>
          <w:rFonts w:ascii="PMingLiU" w:eastAsia="PMingLiU" w:hAnsi="PMingLiU" w:hint="eastAsia"/>
          <w:sz w:val="22"/>
          <w:szCs w:val="22"/>
        </w:rPr>
        <w:t>）。</w:t>
      </w:r>
    </w:p>
    <w:p w14:paraId="7FA2517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11C5EAF" w14:textId="77777777" w:rsidR="006360C9" w:rsidRPr="006360C9" w:rsidRDefault="006360C9" w:rsidP="006360C9">
      <w:pPr>
        <w:spacing w:after="0" w:line="240" w:lineRule="auto"/>
        <w:rPr>
          <w:rFonts w:ascii="PMingLiU" w:eastAsia="PMingLiU" w:hAnsi="PMingLiU"/>
          <w:sz w:val="22"/>
          <w:szCs w:val="22"/>
        </w:rPr>
      </w:pPr>
    </w:p>
    <w:p w14:paraId="08691D3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清康熙二十二年（西元一六八三年）滿清政府派靖海將軍施琅率兵攻打台灣，鄭成功之孫鄭克塽乃向滿清投降，延平郡王國告亡。</w:t>
      </w:r>
    </w:p>
    <w:p w14:paraId="439399C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0805C37" w14:textId="77777777" w:rsidR="006360C9" w:rsidRPr="006360C9" w:rsidRDefault="006360C9" w:rsidP="006360C9">
      <w:pPr>
        <w:spacing w:after="0" w:line="240" w:lineRule="auto"/>
        <w:rPr>
          <w:rFonts w:ascii="PMingLiU" w:eastAsia="PMingLiU" w:hAnsi="PMingLiU"/>
          <w:sz w:val="22"/>
          <w:szCs w:val="22"/>
        </w:rPr>
      </w:pPr>
    </w:p>
    <w:p w14:paraId="275E5E6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魏源「聖武紀略」之「康熙戡定台灣記」記說：方鄭氏之初平也，廷議以其孤懸海外，易藪賊，欲棄之，專守澎湖（註7）。說明當時朝廷有人主張放棄台灣，僅守澎湖。</w:t>
      </w:r>
    </w:p>
    <w:p w14:paraId="6A59817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6C9AF52" w14:textId="77777777" w:rsidR="006360C9" w:rsidRPr="006360C9" w:rsidRDefault="006360C9" w:rsidP="006360C9">
      <w:pPr>
        <w:spacing w:after="0" w:line="240" w:lineRule="auto"/>
        <w:rPr>
          <w:rFonts w:ascii="PMingLiU" w:eastAsia="PMingLiU" w:hAnsi="PMingLiU"/>
          <w:sz w:val="22"/>
          <w:szCs w:val="22"/>
        </w:rPr>
      </w:pPr>
    </w:p>
    <w:p w14:paraId="0257898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正當滿清中央針對台灣「棄留」問題舉棋不定之際，施琅於清康熙二十二年十二月二十二日上疏給康熙皇帝說明台灣「棄留」的利弊得失，在其「恭陳台灣棄留疏」。施氏顯然強烈反對放棄台灣。上述疏中雖然提到棄地遷民將造成人民流離失所，並就經濟的角度提到台灣土地肥沃物產豐，但是主要是從戰略的觀點，一再強調台灣在國防上的重要性，基於此會於疏中指出遷民的實際困難，認為放棄台灣，則台灣或成為海盜聚集地，或將落入外人之手，如此將嚴重威脅到中國東南沿海的國防安全和地方治安。他最後強調台灣地位之重要已到即使是不毛之地，也需藉中國大陸之接濟來保住它。</w:t>
      </w:r>
    </w:p>
    <w:p w14:paraId="73439E0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411CC1C" w14:textId="77777777" w:rsidR="006360C9" w:rsidRPr="006360C9" w:rsidRDefault="006360C9" w:rsidP="006360C9">
      <w:pPr>
        <w:spacing w:after="0" w:line="240" w:lineRule="auto"/>
        <w:rPr>
          <w:rFonts w:ascii="PMingLiU" w:eastAsia="PMingLiU" w:hAnsi="PMingLiU"/>
          <w:sz w:val="22"/>
          <w:szCs w:val="22"/>
        </w:rPr>
      </w:pPr>
    </w:p>
    <w:p w14:paraId="39D011A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康熙二十三年正月二十一日，康熙皇帝看過施琅奏疏後，對台態度已由先前的不重視轉為重視，並已明白指示不放棄台灣，下令大學士等與議政王以下諸要員確實商議。</w:t>
      </w:r>
    </w:p>
    <w:p w14:paraId="7E43334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313EACF" w14:textId="77777777" w:rsidR="006360C9" w:rsidRPr="006360C9" w:rsidRDefault="006360C9" w:rsidP="006360C9">
      <w:pPr>
        <w:spacing w:after="0" w:line="240" w:lineRule="auto"/>
        <w:rPr>
          <w:rFonts w:ascii="PMingLiU" w:eastAsia="PMingLiU" w:hAnsi="PMingLiU"/>
          <w:sz w:val="22"/>
          <w:szCs w:val="22"/>
        </w:rPr>
      </w:pPr>
    </w:p>
    <w:p w14:paraId="5E23FF4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大清聖祖實錄」康熙二十三年四月十四日記說：差往福建料理錢糧侍郎蘇拜會同福建督、撫、提督疏言：「台灣地方千餘里，應設一府三縣，設巡道一員分轄。應設總兵一員、副將二員、兵八千，分為水陸八營。澎湖應設副將一員、兵二千，分為二營。每營各設遊、守、千、把等官」。從之（註</w:t>
      </w:r>
      <w:r w:rsidRPr="006360C9">
        <w:rPr>
          <w:rFonts w:ascii="PMingLiU" w:eastAsia="PMingLiU" w:hAnsi="PMingLiU"/>
          <w:sz w:val="22"/>
          <w:szCs w:val="22"/>
        </w:rPr>
        <w:t>11</w:t>
      </w:r>
      <w:r w:rsidRPr="006360C9">
        <w:rPr>
          <w:rFonts w:ascii="PMingLiU" w:eastAsia="PMingLiU" w:hAnsi="PMingLiU" w:hint="eastAsia"/>
          <w:sz w:val="22"/>
          <w:szCs w:val="22"/>
        </w:rPr>
        <w:t>）。</w:t>
      </w:r>
    </w:p>
    <w:p w14:paraId="26065A2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CBC9B6C" w14:textId="77777777" w:rsidR="006360C9" w:rsidRPr="006360C9" w:rsidRDefault="006360C9" w:rsidP="006360C9">
      <w:pPr>
        <w:spacing w:after="0" w:line="240" w:lineRule="auto"/>
        <w:rPr>
          <w:rFonts w:ascii="PMingLiU" w:eastAsia="PMingLiU" w:hAnsi="PMingLiU"/>
          <w:sz w:val="22"/>
          <w:szCs w:val="22"/>
        </w:rPr>
      </w:pPr>
    </w:p>
    <w:p w14:paraId="4AA36C9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清廷終將台灣劃歸福建省管轄，於台灣設一府三縣，並設分巡道和總兵官鎮守之。</w:t>
      </w:r>
    </w:p>
    <w:p w14:paraId="7A8A3F2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4A510D6" w14:textId="77777777" w:rsidR="006360C9" w:rsidRPr="006360C9" w:rsidRDefault="006360C9" w:rsidP="006360C9">
      <w:pPr>
        <w:spacing w:after="0" w:line="240" w:lineRule="auto"/>
        <w:rPr>
          <w:rFonts w:ascii="PMingLiU" w:eastAsia="PMingLiU" w:hAnsi="PMingLiU"/>
          <w:sz w:val="22"/>
          <w:szCs w:val="22"/>
        </w:rPr>
      </w:pPr>
    </w:p>
    <w:p w14:paraId="6B83A39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綜而言之，滿清政府是基於鞏固東南沿海國防和地方治安的考量，在不增加中央政府之財政負擔和不增加兵員人力的前提下，才將台灣納入版圖，</w:t>
      </w:r>
    </w:p>
    <w:p w14:paraId="34283E3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6E678DB" w14:textId="77777777" w:rsidR="006360C9" w:rsidRPr="006360C9" w:rsidRDefault="006360C9" w:rsidP="006360C9">
      <w:pPr>
        <w:spacing w:after="0" w:line="240" w:lineRule="auto"/>
        <w:rPr>
          <w:rFonts w:ascii="PMingLiU" w:eastAsia="PMingLiU" w:hAnsi="PMingLiU"/>
          <w:sz w:val="22"/>
          <w:szCs w:val="22"/>
        </w:rPr>
      </w:pPr>
    </w:p>
    <w:p w14:paraId="52B70CA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滿清旣將台灣納入版圖，於全台設一台灣府，府下劃為台灣、鳳山、諸羅三縣，係將延平郡王國時代的天興州改為諸羅縣，萬年州分為台灣縣（府治附郭）和鳳山縣而成（註12）。</w:t>
      </w:r>
    </w:p>
    <w:p w14:paraId="536C304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88467E2" w14:textId="77777777" w:rsidR="006360C9" w:rsidRPr="006360C9" w:rsidRDefault="006360C9" w:rsidP="006360C9">
      <w:pPr>
        <w:spacing w:after="0" w:line="240" w:lineRule="auto"/>
        <w:rPr>
          <w:rFonts w:ascii="PMingLiU" w:eastAsia="PMingLiU" w:hAnsi="PMingLiU"/>
          <w:sz w:val="22"/>
          <w:szCs w:val="22"/>
        </w:rPr>
      </w:pPr>
    </w:p>
    <w:p w14:paraId="0A92386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lastRenderedPageBreak/>
        <w:t>台灣縣轄四坊十五里，其縣境範圍由縣治東至咬狗溪大腳山五十里，西至澎湖三十六嶼，大洋水程四更，除水程外，東西廣五十里；南至鳳山縣安平鎮交界十里，北至新港溪（按今之鹽水溪）與諸羅縣交界，南北延表四十里。</w:t>
      </w:r>
    </w:p>
    <w:p w14:paraId="2689645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FDA15B1" w14:textId="77777777" w:rsidR="006360C9" w:rsidRPr="006360C9" w:rsidRDefault="006360C9" w:rsidP="006360C9">
      <w:pPr>
        <w:spacing w:after="0" w:line="240" w:lineRule="auto"/>
        <w:rPr>
          <w:rFonts w:ascii="PMingLiU" w:eastAsia="PMingLiU" w:hAnsi="PMingLiU"/>
          <w:sz w:val="22"/>
          <w:szCs w:val="22"/>
        </w:rPr>
      </w:pPr>
    </w:p>
    <w:p w14:paraId="6C7F363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鳳山縣轄七里二庄十二社一鎮，其縣境範圍，由縣治東至淡水溪二十五里，西至打狗仔港二十五里，東西廣五十里；南至沙馬磯頭（按在今屏東縣貓鼻頭）三百七十里，北至台灣縣文賢里二層行溪一百二十五里，南北延袤四百九十五里。</w:t>
      </w:r>
    </w:p>
    <w:p w14:paraId="674EB84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1FFC0AC" w14:textId="77777777" w:rsidR="006360C9" w:rsidRPr="006360C9" w:rsidRDefault="006360C9" w:rsidP="006360C9">
      <w:pPr>
        <w:spacing w:after="0" w:line="240" w:lineRule="auto"/>
        <w:rPr>
          <w:rFonts w:ascii="PMingLiU" w:eastAsia="PMingLiU" w:hAnsi="PMingLiU"/>
          <w:sz w:val="22"/>
          <w:szCs w:val="22"/>
        </w:rPr>
      </w:pPr>
    </w:p>
    <w:p w14:paraId="5B8F7A9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諸羅縣轄四里三十四社，其縣境範圍，由縣治東至大佛（按今之嘉義縣番路鄉）二十一里，西至大海三十里，東西廣五十一里；南至新港溪與台灣縣交界一百四十里，北至雞籠城（按今之基隆和平島）二千一百七十五里，南北延表二千三百一十五里（註</w:t>
      </w:r>
      <w:r w:rsidRPr="006360C9">
        <w:rPr>
          <w:rFonts w:ascii="PMingLiU" w:eastAsia="PMingLiU" w:hAnsi="PMingLiU"/>
          <w:sz w:val="22"/>
          <w:szCs w:val="22"/>
        </w:rPr>
        <w:t>13</w:t>
      </w:r>
      <w:r w:rsidRPr="006360C9">
        <w:rPr>
          <w:rFonts w:ascii="PMingLiU" w:eastAsia="PMingLiU" w:hAnsi="PMingLiU" w:hint="eastAsia"/>
          <w:sz w:val="22"/>
          <w:szCs w:val="22"/>
        </w:rPr>
        <w:t>）。</w:t>
      </w:r>
    </w:p>
    <w:p w14:paraId="2A60146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2FCA4AA" w14:textId="77777777" w:rsidR="006360C9" w:rsidRPr="006360C9" w:rsidRDefault="006360C9" w:rsidP="006360C9">
      <w:pPr>
        <w:spacing w:after="0" w:line="240" w:lineRule="auto"/>
        <w:rPr>
          <w:rFonts w:ascii="PMingLiU" w:eastAsia="PMingLiU" w:hAnsi="PMingLiU"/>
          <w:sz w:val="22"/>
          <w:szCs w:val="22"/>
        </w:rPr>
      </w:pPr>
    </w:p>
    <w:p w14:paraId="7145EC6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當時各縣境內人口眾寡也並不相同：台灣縣境內約有八千三百五十九戶一萬六千三百九十八人（全爲漢人）；</w:t>
      </w:r>
    </w:p>
    <w:p w14:paraId="228AA1F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B74D201" w14:textId="77777777" w:rsidR="006360C9" w:rsidRPr="006360C9" w:rsidRDefault="006360C9" w:rsidP="006360C9">
      <w:pPr>
        <w:spacing w:after="0" w:line="240" w:lineRule="auto"/>
        <w:rPr>
          <w:rFonts w:ascii="PMingLiU" w:eastAsia="PMingLiU" w:hAnsi="PMingLiU"/>
          <w:sz w:val="22"/>
          <w:szCs w:val="22"/>
        </w:rPr>
      </w:pPr>
    </w:p>
    <w:p w14:paraId="0BA9569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鳳山縣境內約有漢人兩千四百五十五戶六千九百一十人，土著（非漢人，當時被漢人稱為「番」）三千五百九十二人（並無編戶）漢人和土著合計一萬零五百零二人；</w:t>
      </w:r>
    </w:p>
    <w:p w14:paraId="7A6AC93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DB673A9" w14:textId="77777777" w:rsidR="006360C9" w:rsidRPr="006360C9" w:rsidRDefault="006360C9" w:rsidP="006360C9">
      <w:pPr>
        <w:spacing w:after="0" w:line="240" w:lineRule="auto"/>
        <w:rPr>
          <w:rFonts w:ascii="PMingLiU" w:eastAsia="PMingLiU" w:hAnsi="PMingLiU"/>
          <w:sz w:val="22"/>
          <w:szCs w:val="22"/>
        </w:rPr>
      </w:pPr>
    </w:p>
    <w:p w14:paraId="0B80001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諸羅縣境內約有漢人兩千四百三十六戶七千八百五十三人，土著兩千三百二十四戶四千五百一十六人，漢人和土著合計一萬兩千三百六十九人（註</w:t>
      </w:r>
      <w:r w:rsidRPr="006360C9">
        <w:rPr>
          <w:rFonts w:ascii="PMingLiU" w:eastAsia="PMingLiU" w:hAnsi="PMingLiU"/>
          <w:sz w:val="22"/>
          <w:szCs w:val="22"/>
        </w:rPr>
        <w:t>14</w:t>
      </w:r>
      <w:r w:rsidRPr="006360C9">
        <w:rPr>
          <w:rFonts w:ascii="PMingLiU" w:eastAsia="PMingLiU" w:hAnsi="PMingLiU" w:hint="eastAsia"/>
          <w:sz w:val="22"/>
          <w:szCs w:val="22"/>
        </w:rPr>
        <w:t>）。</w:t>
      </w:r>
    </w:p>
    <w:p w14:paraId="488F9F1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8D7D694" w14:textId="77777777" w:rsidR="006360C9" w:rsidRPr="006360C9" w:rsidRDefault="006360C9" w:rsidP="006360C9">
      <w:pPr>
        <w:spacing w:after="0" w:line="240" w:lineRule="auto"/>
        <w:rPr>
          <w:rFonts w:ascii="PMingLiU" w:eastAsia="PMingLiU" w:hAnsi="PMingLiU"/>
          <w:sz w:val="22"/>
          <w:szCs w:val="22"/>
        </w:rPr>
      </w:pPr>
    </w:p>
    <w:p w14:paraId="1B4FCAB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另從上面南北長度和東西廣度的數據看來，吾等亦可知當時滿清政府對台灣之了解頗爲有限，否則不會出現台灣「南北延袤二千三百一十五里」之極不正確數據。</w:t>
      </w:r>
    </w:p>
    <w:p w14:paraId="5F20142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CB34323" w14:textId="77777777" w:rsidR="006360C9" w:rsidRPr="006360C9" w:rsidRDefault="006360C9" w:rsidP="006360C9">
      <w:pPr>
        <w:spacing w:after="0" w:line="240" w:lineRule="auto"/>
        <w:rPr>
          <w:rFonts w:ascii="PMingLiU" w:eastAsia="PMingLiU" w:hAnsi="PMingLiU"/>
          <w:sz w:val="22"/>
          <w:szCs w:val="22"/>
        </w:rPr>
      </w:pPr>
    </w:p>
    <w:p w14:paraId="34237D6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其實也難怪滿清政府對台灣的了解有限，高拱乾「台灣府志」記說：漢人的主要活動空間在台灣府治、澎湖、鳳山縣的諸里庄，至於沙馬磯以北諸社和諸羅縣轄境之近府治地方則爲漢土雜居，其餘皆爲土著的活動空間，漢人當時在台灣的地盤不大，其對台灣的了解就受到限制了。</w:t>
      </w:r>
    </w:p>
    <w:p w14:paraId="508F345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0D77F24" w14:textId="77777777" w:rsidR="006360C9" w:rsidRPr="006360C9" w:rsidRDefault="006360C9" w:rsidP="006360C9">
      <w:pPr>
        <w:spacing w:after="0" w:line="240" w:lineRule="auto"/>
        <w:rPr>
          <w:rFonts w:ascii="PMingLiU" w:eastAsia="PMingLiU" w:hAnsi="PMingLiU"/>
          <w:sz w:val="22"/>
          <w:szCs w:val="22"/>
        </w:rPr>
      </w:pPr>
    </w:p>
    <w:p w14:paraId="06354EE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自康熙二十三年台灣劃定三縣之後，截至雍正元年（西元一七二三年）爲止，縣級機構轄區未會作過調整，惟縣轄下之里、保、庄和社等有所變動。</w:t>
      </w:r>
    </w:p>
    <w:p w14:paraId="462026E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A80DD28" w14:textId="77777777" w:rsidR="006360C9" w:rsidRPr="006360C9" w:rsidRDefault="006360C9" w:rsidP="006360C9">
      <w:pPr>
        <w:spacing w:after="0" w:line="240" w:lineRule="auto"/>
        <w:rPr>
          <w:rFonts w:ascii="PMingLiU" w:eastAsia="PMingLiU" w:hAnsi="PMingLiU"/>
          <w:sz w:val="22"/>
          <w:szCs w:val="22"/>
        </w:rPr>
      </w:pPr>
    </w:p>
    <w:p w14:paraId="1CB129B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根據高拱乾「台灣府志」規制志之記載，則知最遲在康熙三十三年時，除台灣縣仍維持原轄的四坊、十五里外，鳳山縣增加爲十里、三保（包括安平鎮保）五庄、十二社，諸羅縣仍轄四里，但增十四庄，社增爲四十（註</w:t>
      </w:r>
      <w:r w:rsidRPr="006360C9">
        <w:rPr>
          <w:rFonts w:ascii="PMingLiU" w:eastAsia="PMingLiU" w:hAnsi="PMingLiU"/>
          <w:sz w:val="22"/>
          <w:szCs w:val="22"/>
        </w:rPr>
        <w:t>16</w:t>
      </w:r>
      <w:r w:rsidRPr="006360C9">
        <w:rPr>
          <w:rFonts w:ascii="PMingLiU" w:eastAsia="PMingLiU" w:hAnsi="PMingLiU" w:hint="eastAsia"/>
          <w:sz w:val="22"/>
          <w:szCs w:val="22"/>
        </w:rPr>
        <w:t>）。自是至康熙末年，各縣所轄之坊、里、保、庄、計數仍無變動</w:t>
      </w:r>
    </w:p>
    <w:p w14:paraId="53991CD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3F3CD54" w14:textId="77777777" w:rsidR="006360C9" w:rsidRPr="006360C9" w:rsidRDefault="006360C9" w:rsidP="006360C9">
      <w:pPr>
        <w:spacing w:after="0" w:line="240" w:lineRule="auto"/>
        <w:rPr>
          <w:rFonts w:ascii="PMingLiU" w:eastAsia="PMingLiU" w:hAnsi="PMingLiU"/>
          <w:sz w:val="22"/>
          <w:szCs w:val="22"/>
        </w:rPr>
      </w:pPr>
    </w:p>
    <w:p w14:paraId="2B18E0F7" w14:textId="77777777" w:rsidR="006360C9" w:rsidRPr="006360C9" w:rsidRDefault="006360C9" w:rsidP="006360C9">
      <w:pPr>
        <w:spacing w:after="0" w:line="240" w:lineRule="auto"/>
        <w:rPr>
          <w:rFonts w:ascii="PMingLiU" w:eastAsia="PMingLiU" w:hAnsi="PMingLiU"/>
          <w:sz w:val="22"/>
          <w:szCs w:val="22"/>
        </w:rPr>
      </w:pPr>
    </w:p>
    <w:p w14:paraId="747B2836" w14:textId="77777777" w:rsidR="006360C9" w:rsidRPr="006360C9" w:rsidRDefault="006360C9" w:rsidP="006360C9">
      <w:pPr>
        <w:spacing w:after="0" w:line="240" w:lineRule="auto"/>
        <w:rPr>
          <w:rFonts w:ascii="PMingLiU" w:eastAsia="PMingLiU" w:hAnsi="PMingLiU" w:cstheme="majorBidi"/>
          <w:iCs/>
          <w:color w:val="000000" w:themeColor="text1"/>
          <w:sz w:val="22"/>
          <w:szCs w:val="22"/>
        </w:rPr>
      </w:pPr>
      <w:r w:rsidRPr="006360C9">
        <w:rPr>
          <w:rFonts w:ascii="PMingLiU" w:eastAsia="PMingLiU" w:hAnsi="PMingLiU"/>
          <w:sz w:val="22"/>
          <w:szCs w:val="22"/>
        </w:rPr>
        <w:br w:type="page"/>
      </w:r>
    </w:p>
    <w:p w14:paraId="33C2A092" w14:textId="77777777" w:rsidR="006360C9" w:rsidRPr="006360C9" w:rsidRDefault="006360C9" w:rsidP="006360C9">
      <w:pPr>
        <w:spacing w:after="0" w:line="240" w:lineRule="auto"/>
        <w:rPr>
          <w:rFonts w:ascii="PMingLiU" w:eastAsia="PMingLiU" w:hAnsi="PMingLiU" w:hint="eastAsia"/>
          <w:sz w:val="22"/>
          <w:szCs w:val="22"/>
        </w:rPr>
      </w:pPr>
      <w:r w:rsidRPr="006360C9">
        <w:rPr>
          <w:rFonts w:ascii="PMingLiU" w:eastAsia="PMingLiU" w:hAnsi="PMingLiU" w:hint="eastAsia"/>
          <w:sz w:val="22"/>
          <w:szCs w:val="22"/>
        </w:rPr>
        <w:lastRenderedPageBreak/>
        <w:t>第二節雍正乾隆年間廳縣之設置與調整</w:t>
      </w:r>
    </w:p>
    <w:p w14:paraId="4C96CBBE" w14:textId="77777777" w:rsidR="006360C9" w:rsidRPr="006360C9" w:rsidRDefault="006360C9" w:rsidP="006360C9">
      <w:pPr>
        <w:spacing w:after="0" w:line="240" w:lineRule="auto"/>
        <w:rPr>
          <w:rFonts w:ascii="PMingLiU" w:eastAsia="PMingLiU" w:hAnsi="PMingLiU"/>
          <w:sz w:val="22"/>
          <w:szCs w:val="22"/>
        </w:rPr>
      </w:pPr>
    </w:p>
    <w:p w14:paraId="5013158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同世紀九十年代的高拱乾「台灣府志」記說：台灣地氣和煖，無胼手胝足之勞，而禾易長畝，較內地之終歲勤者，其勞逸大異（註19）。</w:t>
      </w:r>
    </w:p>
    <w:p w14:paraId="072DF6A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95B010A" w14:textId="77777777" w:rsidR="006360C9" w:rsidRPr="006360C9" w:rsidRDefault="006360C9" w:rsidP="006360C9">
      <w:pPr>
        <w:spacing w:after="0" w:line="240" w:lineRule="auto"/>
        <w:rPr>
          <w:rFonts w:ascii="PMingLiU" w:eastAsia="PMingLiU" w:hAnsi="PMingLiU"/>
          <w:sz w:val="22"/>
          <w:szCs w:val="22"/>
        </w:rPr>
      </w:pPr>
    </w:p>
    <w:p w14:paraId="034396D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根據研究，中國大陸在十七世紀初葉，人口約有一億五千萬人，已超過飽和點，人口壓力增高，謀生不易，無業遊民不能坐以待斃，乃鋌而走險，不少人就冒險往海外活動，或當海盜，或定居海外（註</w:t>
      </w:r>
      <w:r w:rsidRPr="006360C9">
        <w:rPr>
          <w:rFonts w:ascii="PMingLiU" w:eastAsia="PMingLiU" w:hAnsi="PMingLiU"/>
          <w:sz w:val="22"/>
          <w:szCs w:val="22"/>
        </w:rPr>
        <w:t>2</w:t>
      </w:r>
      <w:r w:rsidRPr="006360C9">
        <w:rPr>
          <w:rFonts w:ascii="PMingLiU" w:eastAsia="PMingLiU" w:hAnsi="PMingLiU" w:hint="eastAsia"/>
          <w:sz w:val="22"/>
          <w:szCs w:val="22"/>
        </w:rPr>
        <w:t>）。台灣距中國大陸僅台灣海峽一水之隔，自十七世紀中、末葉又有不少人認為台灣係一土地肥沃，土著之生產力低，荒地廣大的地方，成爲當時中國閩粵沿海居民移居的主要地點之一，乃必然之趨勢。隨著移民的增加，開墾範圍益加擴大。</w:t>
      </w:r>
    </w:p>
    <w:p w14:paraId="52FF083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CEA9906" w14:textId="77777777" w:rsidR="006360C9" w:rsidRPr="006360C9" w:rsidRDefault="006360C9" w:rsidP="006360C9">
      <w:pPr>
        <w:spacing w:after="0" w:line="240" w:lineRule="auto"/>
        <w:rPr>
          <w:rFonts w:ascii="PMingLiU" w:eastAsia="PMingLiU" w:hAnsi="PMingLiU"/>
          <w:sz w:val="22"/>
          <w:szCs w:val="22"/>
        </w:rPr>
      </w:pPr>
    </w:p>
    <w:p w14:paraId="6EFD356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滿清頜台初設府縣之際，諸羅縣之開墾移民，最遠不越過斗六門，而諸羅縣文武官員皆僑居於離縣治南方八十里的佳里興。此時清軍駐防雖已到半線（今彰化市）牛罵（今清水鎮）然而虎尾、大肚等地仍為當時人視為畏途，越過此等地方，則鮮有知其地理之險易者，因此滿清領台初設府縣時期，理論上崩山、後壠、中港、竹塹、南嵌等地雖已入清朝版圖，但無異「化外」。</w:t>
      </w:r>
    </w:p>
    <w:p w14:paraId="02F6691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22970F1" w14:textId="77777777" w:rsidR="006360C9" w:rsidRPr="006360C9" w:rsidRDefault="006360C9" w:rsidP="006360C9">
      <w:pPr>
        <w:spacing w:after="0" w:line="240" w:lineRule="auto"/>
        <w:rPr>
          <w:rFonts w:ascii="PMingLiU" w:eastAsia="PMingLiU" w:hAnsi="PMingLiU"/>
          <w:sz w:val="22"/>
          <w:szCs w:val="22"/>
        </w:rPr>
      </w:pPr>
    </w:p>
    <w:p w14:paraId="4ADE972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到了康熙四十三年（西元一七○四年）清廷令諸羅縣文武各官進駐諸羅，此時開墾移民已漸越過斗六門，</w:t>
      </w:r>
    </w:p>
    <w:p w14:paraId="5858CC1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1998469" w14:textId="77777777" w:rsidR="006360C9" w:rsidRPr="006360C9" w:rsidRDefault="006360C9" w:rsidP="006360C9">
      <w:pPr>
        <w:spacing w:after="0" w:line="240" w:lineRule="auto"/>
        <w:rPr>
          <w:rFonts w:ascii="PMingLiU" w:eastAsia="PMingLiU" w:hAnsi="PMingLiU"/>
          <w:sz w:val="22"/>
          <w:szCs w:val="22"/>
        </w:rPr>
      </w:pPr>
    </w:p>
    <w:p w14:paraId="5979A0F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數年後，中國大陸移民在台的開墾範圍已漸越過半線乃至大肚溪以北。治康熙五十年代中葉，移民已北抵南日、後墉、竹塹（今新竹市）、南嵌（註23）。</w:t>
      </w:r>
    </w:p>
    <w:p w14:paraId="2A21D28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E95EC2A" w14:textId="77777777" w:rsidR="006360C9" w:rsidRPr="006360C9" w:rsidRDefault="006360C9" w:rsidP="006360C9">
      <w:pPr>
        <w:spacing w:after="0" w:line="240" w:lineRule="auto"/>
        <w:rPr>
          <w:rFonts w:ascii="PMingLiU" w:eastAsia="PMingLiU" w:hAnsi="PMingLiU"/>
          <w:sz w:val="22"/>
          <w:szCs w:val="22"/>
        </w:rPr>
      </w:pPr>
    </w:p>
    <w:p w14:paraId="0891FBC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當時台灣北部亦受到海盜的威脅。蓋康熙四十九年時，海盜陳明隆所部鄭盡心潛伏江、浙交界處之盡山、花鳥、台州魚山、台灣淡水一帶活動。因此滿清政府就在淡水設分防千總，在大甲以北增設七塘以為防禦。但從大甲至淡水駐兵之防區過大，兵力有限（全區共駐陸路兵一百二十名，其中五十名留駐淡水，其餘七十名分駐各塘），而初至之官兵「不習水土」，「無事空抱瘴癘之憂，有事莫濟急之用」（註2）。</w:t>
      </w:r>
    </w:p>
    <w:p w14:paraId="63749FC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C22DF74" w14:textId="77777777" w:rsidR="006360C9" w:rsidRPr="006360C9" w:rsidRDefault="006360C9" w:rsidP="006360C9">
      <w:pPr>
        <w:spacing w:after="0" w:line="240" w:lineRule="auto"/>
        <w:rPr>
          <w:rFonts w:ascii="PMingLiU" w:eastAsia="PMingLiU" w:hAnsi="PMingLiU"/>
          <w:sz w:val="22"/>
          <w:szCs w:val="22"/>
        </w:rPr>
      </w:pPr>
    </w:p>
    <w:p w14:paraId="30E31B2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此時台灣地方文武官員對這個地區的治安已有所憂慮，對處理此一地區的方法，各有所主張。於康熙五十四年任北路參將之阮蔡文甚至有撤回淡水一汎七塘官兵之議，而諸羅知縣周鍾瑄有清流民以大甲溪為界之請。不過周氏基於治安的理由，會進一步主張自淡水至三百餘里別證一縣，並加強軍事和察力量。他認為如此，不僅使此區治安無虞，並可提昇這個地區的文化水準，且能有效控制淡水至山後三百餘里尙無漢人僅有土著的廣大地區。周氏會論說：北路以千里之邊境，日闢日廣，聯為一縣，彈壓以參將一營九百四十之官兵，．．．．．．今昇平無事，其稍遠者已難為駕馭矣。設不幸有水旱之災，有一方之警，而又有不如吳球、劉卻、卓个、卓霧、冰冷、亞生之乘間相誤者，將何以制之？故嘗私論：淡水至山後三百餘里，非山即海，有番無民，不足以置縣邑；淡水以南至半線三百餘里，水泉沃衍，多曠野林，後壠諸港實與鹿仔、三林、海豐、笨港各水汎相為表裡，宜割半以上別為一縣，聽民開墾自如。而半線．．．．．．改置為縣治。張官吏、立學校，以聲明文物之盛，徐化鄙陋頑梗之習；嚴保甲之法，以驅雞鳴狗盜之徒。即又於半線別遊擊一營，鎮以額兵一千，分守備五百；設巡檢一員於淡水，分千把總於後壠、竹塹。使首尾相顧，臂指相屬。而又酌撥鎮防水師於雞籠．．．．．．則自大肚、大甲以至淡水，皆為官兵之所屯聚、往來之所周歷，有司耳目之所稽察、政教之所浸；即淡水至山後三百餘里，望風悚息，永無意外之虞矣（註</w:t>
      </w:r>
      <w:r w:rsidRPr="006360C9">
        <w:rPr>
          <w:rFonts w:ascii="PMingLiU" w:eastAsia="PMingLiU" w:hAnsi="PMingLiU"/>
          <w:sz w:val="22"/>
          <w:szCs w:val="22"/>
        </w:rPr>
        <w:t>26</w:t>
      </w:r>
      <w:r w:rsidRPr="006360C9">
        <w:rPr>
          <w:rFonts w:ascii="PMingLiU" w:eastAsia="PMingLiU" w:hAnsi="PMingLiU" w:hint="eastAsia"/>
          <w:sz w:val="22"/>
          <w:szCs w:val="22"/>
        </w:rPr>
        <w:t>）。周氏主張淡水至山後，有「番」無民，不必置縣，淡水至半間則應別置一縣，並在淡水設一巡檢。此一主張未為滿清中央政府所採納。</w:t>
      </w:r>
    </w:p>
    <w:p w14:paraId="1395F2AD" w14:textId="77777777" w:rsidR="006360C9" w:rsidRPr="006360C9" w:rsidRDefault="006360C9" w:rsidP="006360C9">
      <w:pPr>
        <w:spacing w:after="0" w:line="240" w:lineRule="auto"/>
        <w:rPr>
          <w:rFonts w:ascii="PMingLiU" w:eastAsia="PMingLiU" w:hAnsi="PMingLiU"/>
          <w:sz w:val="22"/>
          <w:szCs w:val="22"/>
        </w:rPr>
      </w:pPr>
    </w:p>
    <w:p w14:paraId="7A8B973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康熙六十年（西元一七二一年）五月台灣發生朱一貴事件，此為滿清統治台灣以來，最具規模的一次動亂。朱氏黨案，根據南澳總兵藍廷珍幕僚藍鼎元之估計衆達三十萬人（註</w:t>
      </w:r>
      <w:r w:rsidRPr="006360C9">
        <w:rPr>
          <w:rFonts w:ascii="PMingLiU" w:eastAsia="PMingLiU" w:hAnsi="PMingLiU"/>
          <w:sz w:val="22"/>
          <w:szCs w:val="22"/>
        </w:rPr>
        <w:t>27</w:t>
      </w:r>
      <w:r w:rsidRPr="006360C9">
        <w:rPr>
          <w:rFonts w:ascii="PMingLiU" w:eastAsia="PMingLiU" w:hAnsi="PMingLiU" w:hint="eastAsia"/>
          <w:sz w:val="22"/>
          <w:szCs w:val="22"/>
        </w:rPr>
        <w:t>），其波及範圍幾遍全台</w:t>
      </w:r>
    </w:p>
    <w:p w14:paraId="5834CD9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CBF943C" w14:textId="77777777" w:rsidR="006360C9" w:rsidRPr="006360C9" w:rsidRDefault="006360C9" w:rsidP="006360C9">
      <w:pPr>
        <w:spacing w:after="0" w:line="240" w:lineRule="auto"/>
        <w:rPr>
          <w:rFonts w:ascii="PMingLiU" w:eastAsia="PMingLiU" w:hAnsi="PMingLiU"/>
          <w:sz w:val="22"/>
          <w:szCs w:val="22"/>
        </w:rPr>
      </w:pPr>
    </w:p>
    <w:p w14:paraId="5CA6AA1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並令研議台灣善後問題；其間閩浙總督會主張除將朱氏黨衆聚集地的居民撤出，毀其屋，荒其地外，並自北路至南路近山十里地內撤出居民，築界牆濂塹以為界，永不准人民越界耕墾居住（30）；廷議及福建巡撫呂猶龍會主張將台灣鎮總兵官移至澎湖，台灣設陸路副將（註</w:t>
      </w:r>
      <w:r w:rsidRPr="006360C9">
        <w:rPr>
          <w:rFonts w:ascii="PMingLiU" w:eastAsia="PMingLiU" w:hAnsi="PMingLiU"/>
          <w:sz w:val="22"/>
          <w:szCs w:val="22"/>
        </w:rPr>
        <w:t>3</w:t>
      </w:r>
      <w:r w:rsidRPr="006360C9">
        <w:rPr>
          <w:rFonts w:ascii="PMingLiU" w:eastAsia="PMingLiU" w:hAnsi="PMingLiU" w:hint="eastAsia"/>
          <w:sz w:val="22"/>
          <w:szCs w:val="22"/>
        </w:rPr>
        <w:t>）。</w:t>
      </w:r>
    </w:p>
    <w:p w14:paraId="00D854E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63EEBC2" w14:textId="77777777" w:rsidR="006360C9" w:rsidRPr="006360C9" w:rsidRDefault="006360C9" w:rsidP="006360C9">
      <w:pPr>
        <w:spacing w:after="0" w:line="240" w:lineRule="auto"/>
        <w:rPr>
          <w:rFonts w:ascii="PMingLiU" w:eastAsia="PMingLiU" w:hAnsi="PMingLiU"/>
          <w:sz w:val="22"/>
          <w:szCs w:val="22"/>
        </w:rPr>
      </w:pPr>
    </w:p>
    <w:p w14:paraId="36E714E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但藍鼎元強烈反對上述三項主張，並進而主張自以北別置一縣。</w:t>
      </w:r>
    </w:p>
    <w:p w14:paraId="5A1A5D7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0816C09" w14:textId="77777777" w:rsidR="006360C9" w:rsidRPr="006360C9" w:rsidRDefault="006360C9" w:rsidP="006360C9">
      <w:pPr>
        <w:spacing w:after="0" w:line="240" w:lineRule="auto"/>
        <w:rPr>
          <w:rFonts w:ascii="PMingLiU" w:eastAsia="PMingLiU" w:hAnsi="PMingLiU"/>
          <w:sz w:val="22"/>
          <w:szCs w:val="22"/>
        </w:rPr>
      </w:pPr>
    </w:p>
    <w:p w14:paraId="401A7720" w14:textId="77777777" w:rsidR="006360C9" w:rsidRPr="006360C9" w:rsidRDefault="006360C9" w:rsidP="006360C9">
      <w:pPr>
        <w:spacing w:after="0" w:line="240" w:lineRule="auto"/>
        <w:rPr>
          <w:rFonts w:ascii="PMingLiU" w:eastAsia="PMingLiU" w:hAnsi="PMingLiU"/>
          <w:sz w:val="22"/>
          <w:szCs w:val="22"/>
        </w:rPr>
      </w:pPr>
    </w:p>
    <w:p w14:paraId="5258E90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至於藍氏反對將台灣總兵官移至澎湖的理由是：一、澎湖爲不毛之地，人民不足資捍禦，形勝不足為依據，假若一、二個月舟楫不通，則不戰自斃；二、台灣沃野千里，山海形勢皆非尋常，論理尙需添兵，今不增反減，又將總兵調至離台二、三里海中之澎湖，萬一有事，呼應不靈，蓋澎湖至台，順風揚帆一日可到，若天時不清，颱颶連綿，浹旬累月，無法飛渡；三、台灣百凡機宜，以澎湖總兵控制台灣，鞭長莫及，猶執牛尾一毛欲制全牛，總無所用（註</w:t>
      </w:r>
      <w:r w:rsidRPr="006360C9">
        <w:rPr>
          <w:rFonts w:ascii="PMingLiU" w:eastAsia="PMingLiU" w:hAnsi="PMingLiU"/>
          <w:sz w:val="22"/>
          <w:szCs w:val="22"/>
        </w:rPr>
        <w:t>3</w:t>
      </w:r>
      <w:r w:rsidRPr="006360C9">
        <w:rPr>
          <w:rFonts w:ascii="PMingLiU" w:eastAsia="PMingLiU" w:hAnsi="PMingLiU" w:hint="eastAsia"/>
          <w:sz w:val="22"/>
          <w:szCs w:val="22"/>
        </w:rPr>
        <w:t>）。藍氏更強調說，總兵移澎湖「何異欲棄台灣乎？台灣一去，則泉、漳先為糜爛，而閩、浙、江、廣四省俱各寢食不寧，山左遼陽皆有邊患」（註37）。</w:t>
      </w:r>
    </w:p>
    <w:p w14:paraId="37EFB82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278CCD9" w14:textId="77777777" w:rsidR="006360C9" w:rsidRPr="006360C9" w:rsidRDefault="006360C9" w:rsidP="006360C9">
      <w:pPr>
        <w:spacing w:after="0" w:line="240" w:lineRule="auto"/>
        <w:rPr>
          <w:rFonts w:ascii="PMingLiU" w:eastAsia="PMingLiU" w:hAnsi="PMingLiU"/>
          <w:sz w:val="22"/>
          <w:szCs w:val="22"/>
        </w:rPr>
      </w:pPr>
    </w:p>
    <w:p w14:paraId="6F574D0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藍氏認為在諸羅縣半線以上增兵並別設一縣乃台灣善後經營所必不可少的措置。</w:t>
      </w:r>
    </w:p>
    <w:p w14:paraId="033358E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3E70982" w14:textId="77777777" w:rsidR="006360C9" w:rsidRPr="006360C9" w:rsidRDefault="006360C9" w:rsidP="006360C9">
      <w:pPr>
        <w:spacing w:after="0" w:line="240" w:lineRule="auto"/>
        <w:rPr>
          <w:rFonts w:ascii="PMingLiU" w:eastAsia="PMingLiU" w:hAnsi="PMingLiU"/>
          <w:sz w:val="22"/>
          <w:szCs w:val="22"/>
        </w:rPr>
      </w:pPr>
    </w:p>
    <w:p w14:paraId="3164ADC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藍鼎元的台灣總兵官仍留駐台灣，於諸羅縣地方別置一縣的主張經由閩浙總督覺羅滿保、水師提督堂及巡台御史吳達禮（註40）等向清廷奏請之後，清廷乃於康熙六十一年四月決定台灣仍設總兵官，澎湖設副將（註41）。</w:t>
      </w:r>
    </w:p>
    <w:p w14:paraId="7E6B64D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90852C2" w14:textId="77777777" w:rsidR="006360C9" w:rsidRPr="006360C9" w:rsidRDefault="006360C9" w:rsidP="006360C9">
      <w:pPr>
        <w:spacing w:after="0" w:line="240" w:lineRule="auto"/>
        <w:rPr>
          <w:rFonts w:ascii="PMingLiU" w:eastAsia="PMingLiU" w:hAnsi="PMingLiU"/>
          <w:sz w:val="22"/>
          <w:szCs w:val="22"/>
        </w:rPr>
      </w:pPr>
    </w:p>
    <w:p w14:paraId="4F5BE7C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清「世宗實錄」於雍正元年（西元一七二三年）八月乙卯條載：巡視台灣御史吳達禮奏言：「諸羅縣北半線地方，民番雜處，請分設知縣一員、典史一員。其淡水係海岸要口，形勢遼闊，並請增設捕盜同知一員」。均應如所請。從之。尋定諸羅分設縣日彰化（註42）。由是則知雍正元年八月清廷諭令在諸羅縣北側線地方設彰化縣，淡水地處設捕盜同知；自此台灣多劃出一彰化縣和淡水廳。</w:t>
      </w:r>
    </w:p>
    <w:p w14:paraId="13D73DD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36B5F2E" w14:textId="77777777" w:rsidR="006360C9" w:rsidRPr="006360C9" w:rsidRDefault="006360C9" w:rsidP="006360C9">
      <w:pPr>
        <w:spacing w:after="0" w:line="240" w:lineRule="auto"/>
        <w:rPr>
          <w:rFonts w:ascii="PMingLiU" w:eastAsia="PMingLiU" w:hAnsi="PMingLiU"/>
          <w:sz w:val="22"/>
          <w:szCs w:val="22"/>
        </w:rPr>
      </w:pPr>
    </w:p>
    <w:p w14:paraId="092F42E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半線設彰化縣不久，清廷以澎湖為台灣門戶，稽查海船、監放兵餉、錢糧倉儲，皆為澎湖當局之專責；但巡檢職位低微，不足彈壓海疆，於雍正五年二月，依福建總督高其奏請裁撤澎湖巡檢之議，改派糧捕通判駐澎湖（註43），台灣府又增一廳。</w:t>
      </w:r>
    </w:p>
    <w:p w14:paraId="75264D9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97A8F9D" w14:textId="77777777" w:rsidR="006360C9" w:rsidRPr="006360C9" w:rsidRDefault="006360C9" w:rsidP="006360C9">
      <w:pPr>
        <w:spacing w:after="0" w:line="240" w:lineRule="auto"/>
        <w:rPr>
          <w:rFonts w:ascii="PMingLiU" w:eastAsia="PMingLiU" w:hAnsi="PMingLiU"/>
          <w:sz w:val="22"/>
          <w:szCs w:val="22"/>
        </w:rPr>
      </w:pPr>
    </w:p>
    <w:p w14:paraId="4DE44F1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不過淡水初設同知時，僅負責稽查北路，兼督彰化捕務，</w:t>
      </w:r>
    </w:p>
    <w:p w14:paraId="4ABA925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28C4EBE" w14:textId="77777777" w:rsidR="006360C9" w:rsidRPr="006360C9" w:rsidRDefault="006360C9" w:rsidP="006360C9">
      <w:pPr>
        <w:spacing w:after="0" w:line="240" w:lineRule="auto"/>
        <w:rPr>
          <w:rFonts w:ascii="PMingLiU" w:eastAsia="PMingLiU" w:hAnsi="PMingLiU"/>
          <w:sz w:val="22"/>
          <w:szCs w:val="22"/>
        </w:rPr>
      </w:pPr>
    </w:p>
    <w:p w14:paraId="0BB5D20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廳治暫設彰化，追雍正九年，福建總督劉世明等以彰化縣治距大甲溪一百五、六十里，溪以北更為遼闊，如果一切錢糧、命盜等項全会赴彰化辦理，殊屬不便，乃奏請將大甲溪以北地方一切錢糧、命盜事務一併歸淡水同知處理，清廷依其議，並令將廳治移竹塹（44），至是淡水廳之地位與縣級相當。</w:t>
      </w:r>
    </w:p>
    <w:p w14:paraId="594610F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005615D" w14:textId="77777777" w:rsidR="006360C9" w:rsidRPr="006360C9" w:rsidRDefault="006360C9" w:rsidP="006360C9">
      <w:pPr>
        <w:spacing w:after="0" w:line="240" w:lineRule="auto"/>
        <w:rPr>
          <w:rFonts w:ascii="PMingLiU" w:eastAsia="PMingLiU" w:hAnsi="PMingLiU"/>
          <w:sz w:val="22"/>
          <w:szCs w:val="22"/>
        </w:rPr>
      </w:pPr>
    </w:p>
    <w:p w14:paraId="19752F3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同年滿清政府對原有的台灣、鳳山、諸羅三縣間之界線也下令略作調整，而付諸實施則要到雍正十二年（註45）。</w:t>
      </w:r>
    </w:p>
    <w:p w14:paraId="3FA1F3C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311F11C" w14:textId="77777777" w:rsidR="006360C9" w:rsidRPr="006360C9" w:rsidRDefault="006360C9" w:rsidP="006360C9">
      <w:pPr>
        <w:spacing w:after="0" w:line="240" w:lineRule="auto"/>
        <w:rPr>
          <w:rFonts w:ascii="PMingLiU" w:eastAsia="PMingLiU" w:hAnsi="PMingLiU"/>
          <w:sz w:val="22"/>
          <w:szCs w:val="22"/>
        </w:rPr>
      </w:pPr>
    </w:p>
    <w:p w14:paraId="225B948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雍正朝的此一次行政區劃之調整，使得原本之台灣、鳳山、諸羅三縣之轄區均大幅縮小。即諸羅縣分出彰化縣、淡水廳，並割新化里一半給台灣縣；鳳山縣之永寧里、新昌里、依仁里、效忠里，併入台灣縣；台灣縣之澎湖獨立成為一廳。</w:t>
      </w:r>
    </w:p>
    <w:p w14:paraId="2E5D618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F7315CA" w14:textId="77777777" w:rsidR="006360C9" w:rsidRPr="006360C9" w:rsidRDefault="006360C9" w:rsidP="006360C9">
      <w:pPr>
        <w:spacing w:after="0" w:line="240" w:lineRule="auto"/>
        <w:rPr>
          <w:rFonts w:ascii="PMingLiU" w:eastAsia="PMingLiU" w:hAnsi="PMingLiU"/>
          <w:sz w:val="22"/>
          <w:szCs w:val="22"/>
        </w:rPr>
      </w:pPr>
    </w:p>
    <w:p w14:paraId="0D17C47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調整後各廳縣之轄區範圍為：台灣縣東至羅漢門莊內門六十五里，西至海三里，南至二贊行溪鳳山縣界二十里，北至新港溪諸羅縣界二十里，全縣廣六十八里，袤四十里。鳳山縣，東至傀儡山五十里，西至打鼓港十里，南至沙馬磯頭三百七十里，北至二贊行溪台灣縣界七十里，全縣廣六十里，表四百四十里，距府治九十里。諸羅縣，東至大龜佛山二十里，西至大海三十里，南至新港溪台灣縣界八十里，北至虎尾溪彰化縣界五十里，全縣廣五十里，袤一百三十里，距府治一百里。彰化縣，東至南、北投大山二十里，西至大海二十里，南至虎尾溪諸羅縣界五十里，北至大甲溪四十里，全縣廣四十里，袤九十里，距府治二百里。淡水廳，東至南山十里，西至大海七里，南至大甲溪一百一十九里，北至大雞籠城二百七十五里，全廳廣十七里，袤四百八十四里，距府治三百五十九里。澎湖廳，東</w:t>
      </w:r>
      <w:r w:rsidRPr="006360C9">
        <w:rPr>
          <w:rFonts w:ascii="PMingLiU" w:eastAsia="PMingLiU" w:hAnsi="PMingLiU" w:hint="eastAsia"/>
          <w:sz w:val="22"/>
          <w:szCs w:val="22"/>
        </w:rPr>
        <w:lastRenderedPageBreak/>
        <w:t>至東吉嶼八十里，西至草嶼八十里，南至南嶼一百里，北至目嶼八十里，距府治二百四十里（註46）。台灣縣轄四坊、二十里、保、二莊、三社；鳳山縣轄八里七莊、六十五社；諸羅縣轄四里、七保、十七莊、三十五社；彰化縣轄十保，管一百一十莊、五十五社；淡水廳轄二保管三十五莊、七十五社（註47）。</w:t>
      </w:r>
    </w:p>
    <w:p w14:paraId="63D9F50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B992265" w14:textId="77777777" w:rsidR="006360C9" w:rsidRPr="006360C9" w:rsidRDefault="006360C9" w:rsidP="006360C9">
      <w:pPr>
        <w:spacing w:after="0" w:line="240" w:lineRule="auto"/>
        <w:rPr>
          <w:rFonts w:ascii="PMingLiU" w:eastAsia="PMingLiU" w:hAnsi="PMingLiU"/>
          <w:sz w:val="22"/>
          <w:szCs w:val="22"/>
        </w:rPr>
      </w:pPr>
    </w:p>
    <w:p w14:paraId="7CC96045" w14:textId="77777777" w:rsidR="006360C9" w:rsidRPr="006360C9" w:rsidRDefault="006360C9" w:rsidP="006360C9">
      <w:pPr>
        <w:spacing w:after="0" w:line="240" w:lineRule="auto"/>
        <w:rPr>
          <w:rFonts w:ascii="PMingLiU" w:eastAsia="PMingLiU" w:hAnsi="PMingLiU"/>
          <w:sz w:val="22"/>
          <w:szCs w:val="22"/>
        </w:rPr>
      </w:pPr>
    </w:p>
    <w:p w14:paraId="547F204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 xml:space="preserve">從前述四至界址看來，則知是時台灣廳縣係以天然屏障之山、海、河為行政區之界線，至於各該廳縣所轄之坊、里、保、莊、社之數目，則仍然看不出其與行政區之劃定有何關係。 </w:t>
      </w:r>
    </w:p>
    <w:p w14:paraId="2C05AB7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08EE69D" w14:textId="77777777" w:rsidR="006360C9" w:rsidRPr="006360C9" w:rsidRDefault="006360C9" w:rsidP="006360C9">
      <w:pPr>
        <w:spacing w:after="0" w:line="240" w:lineRule="auto"/>
        <w:rPr>
          <w:rFonts w:ascii="PMingLiU" w:eastAsia="PMingLiU" w:hAnsi="PMingLiU"/>
          <w:sz w:val="22"/>
          <w:szCs w:val="22"/>
        </w:rPr>
      </w:pPr>
    </w:p>
    <w:p w14:paraId="353209B3" w14:textId="77777777" w:rsidR="006360C9" w:rsidRPr="006360C9" w:rsidRDefault="006360C9" w:rsidP="006360C9">
      <w:pPr>
        <w:spacing w:after="0" w:line="240" w:lineRule="auto"/>
        <w:rPr>
          <w:rFonts w:ascii="PMingLiU" w:eastAsia="PMingLiU" w:hAnsi="PMingLiU"/>
          <w:sz w:val="22"/>
          <w:szCs w:val="22"/>
        </w:rPr>
      </w:pPr>
    </w:p>
    <w:p w14:paraId="5BAAEAD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迨至乾隆二十年代末，台灣仍劃分為兩廳四縣，廳縣級行政區並無調整。至於各該廳縣所轄之坊、里、保、莊、社數，除台灣縣和厦山縣沒變外，其餘各廳縣略有變動。即諸羅縣仍舊轄四里，保增為四十七，莊增為十八，社減為三十三，彰化縣所轄之保增為十六，莊增為一百三十二，社減為五十一，淡水廳所轄之保無增減，莊增為一百三十二，社減爲七十（註</w:t>
      </w:r>
      <w:r w:rsidRPr="006360C9">
        <w:rPr>
          <w:rFonts w:ascii="PMingLiU" w:eastAsia="PMingLiU" w:hAnsi="PMingLiU"/>
          <w:sz w:val="22"/>
          <w:szCs w:val="22"/>
        </w:rPr>
        <w:t>48</w:t>
      </w:r>
      <w:r w:rsidRPr="006360C9">
        <w:rPr>
          <w:rFonts w:ascii="PMingLiU" w:eastAsia="PMingLiU" w:hAnsi="PMingLiU" w:hint="eastAsia"/>
          <w:sz w:val="22"/>
          <w:szCs w:val="22"/>
        </w:rPr>
        <w:t>）。</w:t>
      </w:r>
    </w:p>
    <w:p w14:paraId="46FF6F7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0647875" w14:textId="77777777" w:rsidR="006360C9" w:rsidRPr="006360C9" w:rsidRDefault="006360C9" w:rsidP="006360C9">
      <w:pPr>
        <w:spacing w:after="0" w:line="240" w:lineRule="auto"/>
        <w:rPr>
          <w:rFonts w:ascii="PMingLiU" w:eastAsia="PMingLiU" w:hAnsi="PMingLiU"/>
          <w:sz w:val="22"/>
          <w:szCs w:val="22"/>
        </w:rPr>
      </w:pPr>
    </w:p>
    <w:p w14:paraId="396DF1E0" w14:textId="77777777" w:rsidR="006360C9" w:rsidRPr="006360C9" w:rsidRDefault="006360C9" w:rsidP="006360C9">
      <w:pPr>
        <w:spacing w:after="0" w:line="240" w:lineRule="auto"/>
        <w:rPr>
          <w:rFonts w:ascii="PMingLiU" w:eastAsia="PMingLiU" w:hAnsi="PMingLiU"/>
          <w:sz w:val="22"/>
          <w:szCs w:val="22"/>
        </w:rPr>
      </w:pPr>
    </w:p>
    <w:p w14:paraId="49E5024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即使至乾隆末年，台灣於廳縣文職機構無增減，仍維持兩廳四縣的格局，只是在乾隆五十二年時將諸羅縣改名為嘉義縣而已（註49）。</w:t>
      </w:r>
    </w:p>
    <w:p w14:paraId="7194565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2C07868" w14:textId="77777777" w:rsidR="006360C9" w:rsidRPr="006360C9" w:rsidRDefault="006360C9" w:rsidP="006360C9">
      <w:pPr>
        <w:spacing w:after="0" w:line="240" w:lineRule="auto"/>
        <w:rPr>
          <w:rFonts w:ascii="PMingLiU" w:eastAsia="PMingLiU" w:hAnsi="PMingLiU"/>
          <w:sz w:val="22"/>
          <w:szCs w:val="22"/>
        </w:rPr>
      </w:pPr>
    </w:p>
    <w:p w14:paraId="0CD807E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經前述各節之探討，對清代台灣廳縣之設置和調整此一層面的歷史，吾等得到如下幾點認識。首先要指出的是，清廷在台設置和調整廳縣的過程中，自始至終都是以統治者的立場在運作此一事務。清廷基於此一立場，台灣廳縣之設置與調整，均與台灣內部外在環境之變化，發生緊密的關係。</w:t>
      </w:r>
    </w:p>
    <w:p w14:paraId="56B4AFE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CCD9346" w14:textId="77777777" w:rsidR="006360C9" w:rsidRPr="006360C9" w:rsidRDefault="006360C9" w:rsidP="006360C9">
      <w:pPr>
        <w:spacing w:after="0" w:line="240" w:lineRule="auto"/>
        <w:rPr>
          <w:rFonts w:ascii="PMingLiU" w:eastAsia="PMingLiU" w:hAnsi="PMingLiU"/>
          <w:sz w:val="22"/>
          <w:szCs w:val="22"/>
        </w:rPr>
      </w:pPr>
    </w:p>
    <w:p w14:paraId="2597DA85" w14:textId="77777777" w:rsidR="006360C9" w:rsidRPr="006360C9" w:rsidRDefault="006360C9" w:rsidP="006360C9">
      <w:pPr>
        <w:spacing w:after="0" w:line="240" w:lineRule="auto"/>
        <w:rPr>
          <w:rFonts w:ascii="PMingLiU" w:eastAsia="PMingLiU" w:hAnsi="PMingLiU"/>
          <w:sz w:val="22"/>
          <w:szCs w:val="22"/>
        </w:rPr>
      </w:pPr>
    </w:p>
    <w:p w14:paraId="4DA6DDFB" w14:textId="77777777" w:rsidR="006360C9" w:rsidRPr="006360C9" w:rsidRDefault="006360C9" w:rsidP="006360C9">
      <w:pPr>
        <w:spacing w:after="0" w:line="240" w:lineRule="auto"/>
        <w:rPr>
          <w:rFonts w:ascii="PMingLiU" w:eastAsia="PMingLiU" w:hAnsi="PMingLiU"/>
          <w:sz w:val="22"/>
          <w:szCs w:val="22"/>
        </w:rPr>
      </w:pPr>
    </w:p>
    <w:p w14:paraId="159ED2D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明白的說，即滿清中央政府對台灣廳縣之設置與調整，未會事先做有計劃的全盤性的具前瞻性的規劃；即使有地方官員或地方有識之士，向滿清中央政府提議增設調整廳縣，起初都未受重視，大都要台灣內部發生重大事件（如朱一貴事件、海盜蔡牽、朱濆騷擾事件），或台灣受外力侵擾（如日軍侵台、法軍侵佔基隆澎湖）時，清廷才會基於大清帝國的國防安全，為了維持帝國統治體制之秩序的治安維繫的考量，去採納大臣之建議，予台灣廳縣做一些調</w:t>
      </w:r>
    </w:p>
    <w:p w14:paraId="090AF76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整。質言之，國防與治安是滿清中央政府增設或調整台灣廳縣之關鍵性動機。</w:t>
      </w:r>
    </w:p>
    <w:p w14:paraId="04C1922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1104E9D" w14:textId="77777777" w:rsidR="006360C9" w:rsidRPr="006360C9" w:rsidRDefault="006360C9" w:rsidP="006360C9">
      <w:pPr>
        <w:spacing w:after="0" w:line="240" w:lineRule="auto"/>
        <w:rPr>
          <w:rFonts w:ascii="PMingLiU" w:eastAsia="PMingLiU" w:hAnsi="PMingLiU"/>
          <w:sz w:val="22"/>
          <w:szCs w:val="22"/>
        </w:rPr>
      </w:pPr>
    </w:p>
    <w:p w14:paraId="39A4A73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rPr>
        <w:t>其次，對中央財政的影響（如賦稅的增加、財政的負擔等問題），是否已有相當數量的漢人移居，各該等地方之開發上是否已有相當程度之發展等問題，也是清廷增設或調整台灣廳縣的考量要素。</w:t>
      </w:r>
    </w:p>
    <w:p w14:paraId="7CAFBC1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CCF0F99" w14:textId="77777777" w:rsidR="006360C9" w:rsidRPr="006360C9" w:rsidRDefault="006360C9" w:rsidP="006360C9">
      <w:pPr>
        <w:spacing w:after="0" w:line="240" w:lineRule="auto"/>
        <w:rPr>
          <w:rFonts w:ascii="PMingLiU" w:eastAsia="PMingLiU" w:hAnsi="PMingLiU"/>
          <w:sz w:val="22"/>
          <w:szCs w:val="22"/>
        </w:rPr>
      </w:pPr>
    </w:p>
    <w:p w14:paraId="2E965399" w14:textId="77777777" w:rsidR="006360C9" w:rsidRPr="006360C9" w:rsidRDefault="006360C9" w:rsidP="006360C9">
      <w:pPr>
        <w:spacing w:after="0" w:line="240" w:lineRule="auto"/>
        <w:rPr>
          <w:rFonts w:ascii="PMingLiU" w:eastAsia="PMingLiU" w:hAnsi="PMingLiU"/>
          <w:sz w:val="22"/>
          <w:szCs w:val="22"/>
        </w:rPr>
      </w:pPr>
    </w:p>
    <w:p w14:paraId="5811E787" w14:textId="77777777" w:rsidR="006360C9" w:rsidRPr="006360C9" w:rsidRDefault="006360C9" w:rsidP="006360C9">
      <w:pPr>
        <w:spacing w:after="0" w:line="240" w:lineRule="auto"/>
        <w:rPr>
          <w:rFonts w:ascii="PMingLiU" w:eastAsia="PMingLiU" w:hAnsi="PMingLiU" w:hint="eastAsia"/>
          <w:sz w:val="22"/>
          <w:szCs w:val="22"/>
        </w:rPr>
      </w:pPr>
    </w:p>
    <w:p w14:paraId="41EC02CE" w14:textId="77777777" w:rsidR="006360C9" w:rsidRPr="006360C9" w:rsidRDefault="006360C9" w:rsidP="006360C9">
      <w:pPr>
        <w:spacing w:after="0" w:line="240" w:lineRule="auto"/>
        <w:rPr>
          <w:rFonts w:ascii="PMingLiU" w:eastAsia="PMingLiU" w:hAnsi="PMingLiU" w:cs="Times New Roman"/>
          <w:sz w:val="22"/>
          <w:szCs w:val="22"/>
        </w:rPr>
      </w:pPr>
      <w:r w:rsidRPr="006360C9">
        <w:rPr>
          <w:rFonts w:ascii="PMingLiU" w:eastAsia="PMingLiU" w:hAnsi="PMingLiU" w:cs="Times New Roman"/>
          <w:sz w:val="22"/>
          <w:szCs w:val="22"/>
        </w:rPr>
        <w:br w:type="page"/>
      </w:r>
    </w:p>
    <w:p w14:paraId="16346DB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lastRenderedPageBreak/>
        <w:t>廳及其附屬官署之組織與職掌</w:t>
      </w:r>
    </w:p>
    <w:p w14:paraId="7462710D" w14:textId="77777777" w:rsidR="006360C9" w:rsidRPr="006360C9" w:rsidRDefault="006360C9" w:rsidP="006360C9">
      <w:pPr>
        <w:spacing w:after="0" w:line="240" w:lineRule="auto"/>
        <w:rPr>
          <w:rFonts w:ascii="PMingLiU" w:eastAsia="PMingLiU" w:hAnsi="PMingLiU"/>
          <w:sz w:val="22"/>
          <w:szCs w:val="22"/>
        </w:rPr>
      </w:pPr>
    </w:p>
    <w:p w14:paraId="7F9802E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清代地方官分正印官和佐貳雜職首領等職官。正印官即主任官之義，而佐貳雜職和首領皆爲主任官之輔助官（註1）。其時府設知府為其長官，其下因地方情況之不同，設有多寡不同的輔助官，例如同知、通判、府經歷、府知事、府照磨、府司獄、府宣課司大使、府稅課大使、府倉大使、府檢校和府庫大使等皆為知府之輔助官；</w:t>
      </w:r>
    </w:p>
    <w:p w14:paraId="05B4F3A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9F4E288" w14:textId="77777777" w:rsidR="006360C9" w:rsidRPr="006360C9" w:rsidRDefault="006360C9" w:rsidP="006360C9">
      <w:pPr>
        <w:spacing w:after="0" w:line="240" w:lineRule="auto"/>
        <w:rPr>
          <w:rFonts w:ascii="PMingLiU" w:eastAsia="PMingLiU" w:hAnsi="PMingLiU"/>
          <w:sz w:val="22"/>
          <w:szCs w:val="22"/>
        </w:rPr>
      </w:pPr>
    </w:p>
    <w:p w14:paraId="12A3351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同知和通負有特殊職掌者，其上都冠以職務名，而稱之為某同知或某通判，例如糧捕同知、理番同知、海防通判即為其例，有些同知通留駐在府城，也有不少分駐在知府轄的要衝地方（註2），因此同知、通判被俗稱之為「二府」、「三府」（註3），而其對外行文則以分府自稱（註4）。</w:t>
      </w:r>
    </w:p>
    <w:p w14:paraId="1A38FB0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7038B3F" w14:textId="77777777" w:rsidR="006360C9" w:rsidRPr="006360C9" w:rsidRDefault="006360C9" w:rsidP="006360C9">
      <w:pPr>
        <w:spacing w:after="0" w:line="240" w:lineRule="auto"/>
        <w:rPr>
          <w:rFonts w:ascii="PMingLiU" w:eastAsia="PMingLiU" w:hAnsi="PMingLiU"/>
          <w:sz w:val="22"/>
          <w:szCs w:val="22"/>
        </w:rPr>
      </w:pPr>
    </w:p>
    <w:p w14:paraId="7E01B6D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由是則知有些設在府城外的同知、通衙門即爲知府衙門之分支機關，負責專管某種職務。</w:t>
      </w:r>
    </w:p>
    <w:p w14:paraId="22D056D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DA00578" w14:textId="77777777" w:rsidR="006360C9" w:rsidRPr="006360C9" w:rsidRDefault="006360C9" w:rsidP="006360C9">
      <w:pPr>
        <w:spacing w:after="0" w:line="240" w:lineRule="auto"/>
        <w:rPr>
          <w:rFonts w:ascii="PMingLiU" w:eastAsia="PMingLiU" w:hAnsi="PMingLiU"/>
          <w:sz w:val="22"/>
          <w:szCs w:val="22"/>
        </w:rPr>
      </w:pPr>
    </w:p>
    <w:p w14:paraId="6EFE892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不過清代有些地方官的長官也稱之為同知、通判，同知、通判為該地方官之正印官，以經歷、照磨、知事、司獄、巡檢等為其輔助官，像這類設有輔助官之同知、通有的也冠上撫民或海防等職務名（註5），本論文所要研究之同知、通（皆稱廳）即屬此類能獨當一面的地方官，至於屬於知府之分支機關的同知、通判，則未列入探討之範圍。</w:t>
      </w:r>
    </w:p>
    <w:p w14:paraId="35DFD49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6EA71DA" w14:textId="77777777" w:rsidR="006360C9" w:rsidRPr="006360C9" w:rsidRDefault="006360C9" w:rsidP="006360C9">
      <w:pPr>
        <w:spacing w:after="0" w:line="240" w:lineRule="auto"/>
        <w:rPr>
          <w:rFonts w:ascii="PMingLiU" w:eastAsia="PMingLiU" w:hAnsi="PMingLiU"/>
          <w:sz w:val="22"/>
          <w:szCs w:val="22"/>
        </w:rPr>
      </w:pPr>
    </w:p>
    <w:p w14:paraId="4B1E945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第一節雍正乾隆年間廳之組織與職掌</w:t>
      </w:r>
    </w:p>
    <w:p w14:paraId="6F2E50EE" w14:textId="77777777" w:rsidR="006360C9" w:rsidRPr="006360C9" w:rsidRDefault="006360C9" w:rsidP="006360C9">
      <w:pPr>
        <w:spacing w:after="0" w:line="240" w:lineRule="auto"/>
        <w:rPr>
          <w:rFonts w:ascii="PMingLiU" w:eastAsia="PMingLiU" w:hAnsi="PMingLiU"/>
          <w:sz w:val="22"/>
          <w:szCs w:val="22"/>
        </w:rPr>
      </w:pPr>
    </w:p>
    <w:p w14:paraId="5EE3AD8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滿清於康熙二十二年（西元一六八三年）消滅鄭氏政權之後，於翌年在台灣設有台灣府，其下設台灣、鳳山和諸羅三縣，最初並無廳6之設置。</w:t>
      </w:r>
    </w:p>
    <w:p w14:paraId="5F85D40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C253B7C" w14:textId="77777777" w:rsidR="006360C9" w:rsidRPr="006360C9" w:rsidRDefault="006360C9" w:rsidP="006360C9">
      <w:pPr>
        <w:spacing w:after="0" w:line="240" w:lineRule="auto"/>
        <w:rPr>
          <w:rFonts w:ascii="PMingLiU" w:eastAsia="PMingLiU" w:hAnsi="PMingLiU"/>
          <w:sz w:val="22"/>
          <w:szCs w:val="22"/>
        </w:rPr>
      </w:pPr>
    </w:p>
    <w:p w14:paraId="2B67DD7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雍正元年（西元一七二三年）在線地方分別增設彰化知縣和淡水同知，此時之淡水同知仍屬台灣府之分支機關。</w:t>
      </w:r>
    </w:p>
    <w:p w14:paraId="4AA6DFE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EE8DFC2" w14:textId="77777777" w:rsidR="006360C9" w:rsidRPr="006360C9" w:rsidRDefault="006360C9" w:rsidP="006360C9">
      <w:pPr>
        <w:spacing w:after="0" w:line="240" w:lineRule="auto"/>
        <w:rPr>
          <w:rFonts w:ascii="PMingLiU" w:eastAsia="PMingLiU" w:hAnsi="PMingLiU"/>
          <w:sz w:val="22"/>
          <w:szCs w:val="22"/>
        </w:rPr>
      </w:pPr>
    </w:p>
    <w:p w14:paraId="46DD07D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其後不久，即雍正五年二月，清廷依福建總督之議，裁撤澎湖巡檢，改派捕通駐澎湖，於此台灣始有能獨當一面的廳之設置。</w:t>
      </w:r>
    </w:p>
    <w:p w14:paraId="2881BDC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45B82B9" w14:textId="77777777" w:rsidR="006360C9" w:rsidRPr="006360C9" w:rsidRDefault="006360C9" w:rsidP="006360C9">
      <w:pPr>
        <w:spacing w:after="0" w:line="240" w:lineRule="auto"/>
        <w:rPr>
          <w:rFonts w:ascii="PMingLiU" w:eastAsia="PMingLiU" w:hAnsi="PMingLiU"/>
          <w:sz w:val="22"/>
          <w:szCs w:val="22"/>
        </w:rPr>
      </w:pPr>
    </w:p>
    <w:p w14:paraId="15B2A27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雍正九年清廷將原雍正元年所設之淡水同知之職權擴大，即淡水同知原僅負責稽查台灣北路，兼督彰化捕務，其廳治設在彰化</w:t>
      </w:r>
    </w:p>
    <w:p w14:paraId="0110607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C527566" w14:textId="77777777" w:rsidR="006360C9" w:rsidRPr="006360C9" w:rsidRDefault="006360C9" w:rsidP="006360C9">
      <w:pPr>
        <w:spacing w:after="0" w:line="240" w:lineRule="auto"/>
        <w:rPr>
          <w:rFonts w:ascii="PMingLiU" w:eastAsia="PMingLiU" w:hAnsi="PMingLiU"/>
          <w:sz w:val="22"/>
          <w:szCs w:val="22"/>
        </w:rPr>
      </w:pPr>
    </w:p>
    <w:p w14:paraId="326EA9A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雍正九年乃將大甲溪以北地方之一切錢糧、命盜事務合併劃歸淡水同知處理（參見第一章第二節），淡水同知自此成為獨當一面的地方官廳。</w:t>
      </w:r>
    </w:p>
    <w:p w14:paraId="5A6FBB7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0B76D258" w14:textId="77777777" w:rsidR="006360C9" w:rsidRPr="006360C9" w:rsidRDefault="006360C9" w:rsidP="006360C9">
      <w:pPr>
        <w:spacing w:after="0" w:line="240" w:lineRule="auto"/>
        <w:rPr>
          <w:rFonts w:ascii="PMingLiU" w:eastAsia="PMingLiU" w:hAnsi="PMingLiU" w:hint="eastAsia"/>
          <w:sz w:val="22"/>
          <w:szCs w:val="22"/>
        </w:rPr>
      </w:pPr>
    </w:p>
    <w:p w14:paraId="687029D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澎湖設廳後，設通判一員，其官秩為六品。澎湖通判之外，初未設其他輔助官，</w:t>
      </w:r>
    </w:p>
    <w:p w14:paraId="3202464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C4F8AA2" w14:textId="77777777" w:rsidR="006360C9" w:rsidRPr="006360C9" w:rsidRDefault="006360C9" w:rsidP="006360C9">
      <w:pPr>
        <w:spacing w:after="0" w:line="240" w:lineRule="auto"/>
        <w:rPr>
          <w:rFonts w:ascii="PMingLiU" w:eastAsia="PMingLiU" w:hAnsi="PMingLiU"/>
          <w:sz w:val="22"/>
          <w:szCs w:val="22"/>
        </w:rPr>
      </w:pPr>
    </w:p>
    <w:p w14:paraId="3286251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檢視淡水海防同知的情形，淡水海防同知於雍正元年成立時，其法理上和性質上屬於台灣知府之分支機關，雍正九年時才實質上成為與知縣同級之獨當一面的文職機關（已如前述），雍正十一年奉文移駐竹塹辦理廳務（註）。</w:t>
      </w:r>
    </w:p>
    <w:p w14:paraId="5F49E50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0E53409" w14:textId="77777777" w:rsidR="006360C9" w:rsidRPr="006360C9" w:rsidRDefault="006360C9" w:rsidP="006360C9">
      <w:pPr>
        <w:spacing w:after="0" w:line="240" w:lineRule="auto"/>
        <w:rPr>
          <w:rFonts w:ascii="PMingLiU" w:eastAsia="PMingLiU" w:hAnsi="PMingLiU"/>
          <w:sz w:val="22"/>
          <w:szCs w:val="22"/>
        </w:rPr>
      </w:pPr>
    </w:p>
    <w:p w14:paraId="640A10F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乾隆初年，淡水廳設海防同知一員，官秩正五品（註10），其下於竹塹、八里坌各設巡檢一員（皆設於雍正九年）官秩為從九品，為輔助官，用之協助同知處理該廳之事務（註11），</w:t>
      </w:r>
    </w:p>
    <w:p w14:paraId="7139A97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C2672D3" w14:textId="77777777" w:rsidR="006360C9" w:rsidRPr="006360C9" w:rsidRDefault="006360C9" w:rsidP="006360C9">
      <w:pPr>
        <w:spacing w:after="0" w:line="240" w:lineRule="auto"/>
        <w:rPr>
          <w:rFonts w:ascii="PMingLiU" w:eastAsia="PMingLiU" w:hAnsi="PMingLiU"/>
          <w:sz w:val="22"/>
          <w:szCs w:val="22"/>
        </w:rPr>
      </w:pPr>
    </w:p>
    <w:p w14:paraId="7A0FDE9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乾隆三十二年二月時，閩浙總督蘇昌建議裁撤八里坌巡檢，改於新莊設巡檢，清廷准之（註18），至是6新莊巡檢正式成立。</w:t>
      </w:r>
    </w:p>
    <w:p w14:paraId="4DDB542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lastRenderedPageBreak/>
        <w:t>張勝彥，《清代台灣廳縣制度之研究》（台北：華世出版社，1993年3月</w:t>
      </w:r>
      <w:r w:rsidRPr="006360C9">
        <w:rPr>
          <w:rFonts w:ascii="PMingLiU" w:eastAsia="PMingLiU" w:hAnsi="PMingLiU" w:hint="eastAsia"/>
          <w:sz w:val="22"/>
          <w:szCs w:val="22"/>
        </w:rPr>
        <w:t>）.pdf</w:t>
      </w:r>
    </w:p>
    <w:p w14:paraId="7238E57C" w14:textId="77777777" w:rsidR="006360C9" w:rsidRPr="006360C9" w:rsidRDefault="006360C9" w:rsidP="006360C9">
      <w:pPr>
        <w:spacing w:after="0" w:line="240" w:lineRule="auto"/>
        <w:rPr>
          <w:rFonts w:ascii="PMingLiU" w:eastAsia="PMingLiU" w:hAnsi="PMingLiU"/>
          <w:sz w:val="22"/>
          <w:szCs w:val="22"/>
        </w:rPr>
      </w:pPr>
    </w:p>
    <w:p w14:paraId="0BC8CD8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乾隆中期，台北平原整個地區已相當的開發，到處都是農田，農業發展已達成熟階段（註21），新莊地方已是地廣人稠之地。「清高宗實錄」乾隆五十四年九月</w:t>
      </w:r>
      <w:r w:rsidRPr="006360C9">
        <w:rPr>
          <w:rFonts w:ascii="PMingLiU" w:eastAsia="PMingLiU" w:hAnsi="PMingLiU" w:cs="Times New Roman" w:hint="eastAsia"/>
          <w:sz w:val="22"/>
          <w:szCs w:val="22"/>
        </w:rPr>
        <w:t>，</w:t>
      </w:r>
      <w:r w:rsidRPr="006360C9">
        <w:rPr>
          <w:rFonts w:ascii="PMingLiU" w:eastAsia="PMingLiU" w:hAnsi="PMingLiU" w:cs="Times New Roman"/>
          <w:sz w:val="22"/>
          <w:szCs w:val="22"/>
        </w:rPr>
        <w:t>閩浙總督覺羅伍拉納等，以新莊地方地廣人稠，巡檢微員不足以資佐理淡水同知，建議將之陞為縣丞，其議為清廷所准，至是淡水地方始有縣丞之設置。</w:t>
      </w:r>
    </w:p>
    <w:p w14:paraId="31812A6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3439485" w14:textId="77777777" w:rsidR="006360C9" w:rsidRPr="006360C9" w:rsidRDefault="006360C9" w:rsidP="006360C9">
      <w:pPr>
        <w:spacing w:after="0" w:line="240" w:lineRule="auto"/>
        <w:rPr>
          <w:rFonts w:ascii="PMingLiU" w:eastAsia="PMingLiU" w:hAnsi="PMingLiU"/>
          <w:sz w:val="22"/>
          <w:szCs w:val="22"/>
        </w:rPr>
      </w:pPr>
    </w:p>
    <w:p w14:paraId="12A57E8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縣丞署之組織及其組成員額爲：設縣丞一員，官秩正八品（註23），爲同知之輔助官，協助同知處理廳務。</w:t>
      </w:r>
    </w:p>
    <w:p w14:paraId="71F383B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611D82E" w14:textId="77777777" w:rsidR="006360C9" w:rsidRPr="006360C9" w:rsidRDefault="006360C9" w:rsidP="006360C9">
      <w:pPr>
        <w:spacing w:after="0" w:line="240" w:lineRule="auto"/>
        <w:rPr>
          <w:rFonts w:ascii="PMingLiU" w:eastAsia="PMingLiU" w:hAnsi="PMingLiU"/>
          <w:sz w:val="22"/>
          <w:szCs w:val="22"/>
        </w:rPr>
      </w:pPr>
    </w:p>
    <w:p w14:paraId="159F338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由前述則知自乾隆五十四年起，淡水廳除同知外，僅設竹塹巡檢、新莊縣丞各一員，負責處理淡水廳轄內事務，這樣的組織一直持續到嘉慶後半葉才有所改變（後述）。</w:t>
      </w:r>
    </w:p>
    <w:p w14:paraId="1789961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44EEEF5" w14:textId="77777777" w:rsidR="006360C9" w:rsidRPr="006360C9" w:rsidRDefault="006360C9" w:rsidP="006360C9">
      <w:pPr>
        <w:spacing w:after="0" w:line="240" w:lineRule="auto"/>
        <w:rPr>
          <w:rFonts w:ascii="PMingLiU" w:eastAsia="PMingLiU" w:hAnsi="PMingLiU"/>
          <w:sz w:val="22"/>
          <w:szCs w:val="22"/>
        </w:rPr>
      </w:pPr>
    </w:p>
    <w:p w14:paraId="3331EC3F" w14:textId="77777777" w:rsidR="006360C9" w:rsidRPr="006360C9" w:rsidRDefault="006360C9" w:rsidP="006360C9">
      <w:pPr>
        <w:spacing w:after="0" w:line="240" w:lineRule="auto"/>
        <w:rPr>
          <w:rFonts w:ascii="PMingLiU" w:eastAsia="PMingLiU" w:hAnsi="PMingLiU" w:cs="Times New Roman" w:hint="eastAsia"/>
          <w:sz w:val="22"/>
          <w:szCs w:val="22"/>
        </w:rPr>
      </w:pPr>
    </w:p>
    <w:p w14:paraId="1D40EC0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根據「澎湖紀略」的記載，澎湖廳署之職掌爲：一審理詞訟：舉凡戶婚、田土、錢債之民事案件，鬥毆、鼠竊、狗偷、輕生短見命案等輕度刑事案件，皆由通判審理結案。至於重大刑案，則仍交由台灣縣擬議，再行層轉。二徵收錢糧：澎湖錢糧僅六百零九兩，為數無多，每年分二月和九月兩次徵收。澎湖民多能自行赴櫃繳納，不需通判差役下鄉催繳。三宣講上喩：澎湖通每月朔望需會同協營各官，在媽祖公所設香案，宣講雍正元年所頒欽定聖諭廣訓十六章，每次宣講兩章。四課農勸學：澎湖多島嶼，人民業農的不多，且向來讀書人也不多，獎勵業農勸民讀書，遂成為澎湖通的重要工作。五處理警務：舉凡緝捕逃犯，編查保甲，查點門牌皆通判之業務。查點門牌係配合編查保甲所需的業務，即由廳署諭令各澳澳甲，將澳內居民分別男女查列職業（當時之業別分為儒、農、漁、吏、差、商、販）後送通查核，製作門牌，然後再由廳署將門牌分給各家懸掛。六稽查船集：通判負責稽查汎口之商漁船，有無搭載偷渡、逋逃，或載運違禁物品。無字號行跡可疑之船隻亦為通判取締之對象。不過這些工作，通常是交由書役和武汎辦理。七訓練民壯：澎湖設有民壯二十名，向係學習刀鎗、弓箭、鳥鎗、籐牌各種器械之武裝人員，其職在於緝捕盜匪，防護城池倉庫。爲違成民壯之任務，通需定期督令民壯會同營員一起操練。八稽查鹽務：澎湖之鹽向由鹽販之販戶運賣，販戶需先向台灣府請得執照始可在澎湖運賣。通判應照章，將該賬戶運銷鹽觔數且按月造冊查報，並派員巡緝地方，取緝私販。至於每年鹽課奏銷，仍由台灣府辦理，澎湖通判無督銷議敘參處之權責。九支放糧餉：澎湖廳向來預貯半年兵餉，做為澎湖協標兩營兵餉未到時支放之用。此預貯半年兵餉之支放，即由澎湖通負責辦理。大查點班兵：向來所有調台水陸兵，必須經由澎湖廳署會同澎湖協營按名查點，是否與內地各該營造送澎湖廳署之名冊相符，不符者立即通報駁回本營更換，相符者始准放行台灣。此法於乾隆二十三年廢除，即此後調往台灣之水陸兵丁，不必經由澎湖廳署驗收。惟此後調到澎湖換防之兵丁，不僅需經澎湖廳署查點，且需由該廳查驗之器械是否精良，同時，該廳需將器械查驗結果會營申送備查。去修理墩台營房：澎湖之墩台營房，一有風雨刮壞，都係由協營移會澎湖廳署估計，再由該營造冊請修，修造費部份由該廳負擔。吉執行與協營會辦交涉事項：砲之定期演放、戰船之應換篷索、戰船之蟫洗、澎湖協營之參加水陸大會操等事，通均需派員與軍方會辦。另外若有兵民間之交涉、口角、爭訟等事件，通判應即遵照例限，依期結斷（註25）。以上為澎湖通判之職掌，亦即澎湖廳衙門之權責和其應辦之業務。</w:t>
      </w:r>
    </w:p>
    <w:p w14:paraId="5EAC8D4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CB4E5D7" w14:textId="77777777" w:rsidR="006360C9" w:rsidRPr="006360C9" w:rsidRDefault="006360C9" w:rsidP="006360C9">
      <w:pPr>
        <w:spacing w:after="0" w:line="240" w:lineRule="auto"/>
        <w:rPr>
          <w:rFonts w:ascii="PMingLiU" w:eastAsia="PMingLiU" w:hAnsi="PMingLiU"/>
          <w:sz w:val="22"/>
          <w:szCs w:val="22"/>
        </w:rPr>
      </w:pPr>
    </w:p>
    <w:p w14:paraId="62E2250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淡水同知之下，自雍正九年至乾隆五十三年均設有兩巡檢，一為竹塹巡檢，一為新莊巡檢（乾隆三十二年由八里坌巡檢改設，詳如前述），巡檢為同知之輔助官。竹塹巡檢負責稽查竹塹附近及其以南地方，並管監獄事務，八里坌巡檢職司稽查地方，新莊巡檢之職司與八里巡檢相同（註28）。</w:t>
      </w:r>
    </w:p>
    <w:p w14:paraId="18B4233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1B6BC82" w14:textId="77777777" w:rsidR="006360C9" w:rsidRPr="006360C9" w:rsidRDefault="006360C9" w:rsidP="006360C9">
      <w:pPr>
        <w:spacing w:after="0" w:line="240" w:lineRule="auto"/>
        <w:rPr>
          <w:rFonts w:ascii="PMingLiU" w:eastAsia="PMingLiU" w:hAnsi="PMingLiU"/>
          <w:sz w:val="22"/>
          <w:szCs w:val="22"/>
        </w:rPr>
      </w:pPr>
    </w:p>
    <w:p w14:paraId="6A6A996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乾隆五十四年新莊巡檢改為新莊縣丞，在淡水同知的監督下，負責新莊一帶之政務，因此新莊縣丞可說是淡水同知衙門之分支機關（註2）。</w:t>
      </w:r>
    </w:p>
    <w:p w14:paraId="168CA80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D175F60" w14:textId="77777777" w:rsidR="006360C9" w:rsidRPr="006360C9" w:rsidRDefault="006360C9" w:rsidP="006360C9">
      <w:pPr>
        <w:spacing w:after="0" w:line="240" w:lineRule="auto"/>
        <w:rPr>
          <w:rFonts w:ascii="PMingLiU" w:eastAsia="PMingLiU" w:hAnsi="PMingLiU"/>
          <w:sz w:val="22"/>
          <w:szCs w:val="22"/>
        </w:rPr>
      </w:pPr>
    </w:p>
    <w:p w14:paraId="74B2B43F" w14:textId="77777777" w:rsidR="006360C9" w:rsidRPr="006360C9" w:rsidRDefault="006360C9" w:rsidP="006360C9">
      <w:pPr>
        <w:spacing w:after="0" w:line="240" w:lineRule="auto"/>
        <w:rPr>
          <w:rFonts w:ascii="PMingLiU" w:eastAsia="PMingLiU" w:hAnsi="PMingLiU"/>
          <w:sz w:val="22"/>
          <w:szCs w:val="22"/>
        </w:rPr>
      </w:pPr>
    </w:p>
    <w:p w14:paraId="06B9D4F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第三章縣及其附屬官署之組織與職掌</w:t>
      </w:r>
    </w:p>
    <w:p w14:paraId="222AE55D" w14:textId="77777777" w:rsidR="006360C9" w:rsidRPr="006360C9" w:rsidRDefault="006360C9" w:rsidP="006360C9">
      <w:pPr>
        <w:spacing w:after="0" w:line="240" w:lineRule="auto"/>
        <w:rPr>
          <w:rFonts w:ascii="PMingLiU" w:eastAsia="PMingLiU" w:hAnsi="PMingLiU"/>
          <w:sz w:val="22"/>
          <w:szCs w:val="22"/>
        </w:rPr>
      </w:pPr>
    </w:p>
    <w:p w14:paraId="62ADE30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第一節康熙年間縣之組織與職掌</w:t>
      </w:r>
    </w:p>
    <w:p w14:paraId="43EB2689" w14:textId="77777777" w:rsidR="006360C9" w:rsidRPr="006360C9" w:rsidRDefault="006360C9" w:rsidP="006360C9">
      <w:pPr>
        <w:spacing w:after="0" w:line="240" w:lineRule="auto"/>
        <w:rPr>
          <w:rFonts w:ascii="PMingLiU" w:eastAsia="PMingLiU" w:hAnsi="PMingLiU"/>
          <w:sz w:val="22"/>
          <w:szCs w:val="22"/>
        </w:rPr>
      </w:pPr>
    </w:p>
    <w:p w14:paraId="2F3228F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lastRenderedPageBreak/>
        <w:t>如第一章所述，滿清有台灣之次年，將台灣置於福建省管轄之下，於全台除設一台灣府外，尙在府下設台灣、鳳山和諸羅三個縣。</w:t>
      </w:r>
    </w:p>
    <w:p w14:paraId="325970D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C4B4A17" w14:textId="77777777" w:rsidR="006360C9" w:rsidRPr="006360C9" w:rsidRDefault="006360C9" w:rsidP="006360C9">
      <w:pPr>
        <w:spacing w:after="0" w:line="240" w:lineRule="auto"/>
        <w:rPr>
          <w:rFonts w:ascii="PMingLiU" w:eastAsia="PMingLiU" w:hAnsi="PMingLiU"/>
          <w:sz w:val="22"/>
          <w:szCs w:val="22"/>
        </w:rPr>
      </w:pPr>
    </w:p>
    <w:p w14:paraId="5F66279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依清代之制度，縣皆設知縣一名，其官秩為正七品，乃各該縣之最高文職長官（註1）。</w:t>
      </w:r>
    </w:p>
    <w:p w14:paraId="6D0A113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64355C1" w14:textId="77777777" w:rsidR="006360C9" w:rsidRPr="006360C9" w:rsidRDefault="006360C9" w:rsidP="006360C9">
      <w:pPr>
        <w:spacing w:after="0" w:line="240" w:lineRule="auto"/>
        <w:rPr>
          <w:rFonts w:ascii="PMingLiU" w:eastAsia="PMingLiU" w:hAnsi="PMingLiU"/>
          <w:sz w:val="22"/>
          <w:szCs w:val="22"/>
        </w:rPr>
      </w:pPr>
    </w:p>
    <w:p w14:paraId="503DA0C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欽定大清會典則例」三載說：國初定每縣設知縣一人，縣丞、主簿因事增革無定員，典史一人，儒學教諭一人、訓導一人，倉庫大使、副使、巡檢、驛丞、所官因事設定無定員。康熙三年定大縣儒學裁訓導一人，小縣儒學裁教論一人。十五年大縣復設訓導，小縣復設教論（註2）。</w:t>
      </w:r>
    </w:p>
    <w:p w14:paraId="674EFAE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BFCDB6B" w14:textId="77777777" w:rsidR="006360C9" w:rsidRPr="006360C9" w:rsidRDefault="006360C9" w:rsidP="006360C9">
      <w:pPr>
        <w:spacing w:after="0" w:line="240" w:lineRule="auto"/>
        <w:rPr>
          <w:rFonts w:ascii="PMingLiU" w:eastAsia="PMingLiU" w:hAnsi="PMingLiU"/>
          <w:sz w:val="22"/>
          <w:szCs w:val="22"/>
        </w:rPr>
      </w:pPr>
    </w:p>
    <w:p w14:paraId="0E7A6DB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則知康熙時代一縣除設知縣一名外，可能尙設有縣丞、主簿、典史、敎論、訓導、倉庫大使、副使、巡檢、驛丞、所官等輔助官</w:t>
      </w:r>
    </w:p>
    <w:p w14:paraId="09D0CBA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A214692" w14:textId="77777777" w:rsidR="006360C9" w:rsidRPr="006360C9" w:rsidRDefault="006360C9" w:rsidP="006360C9">
      <w:pPr>
        <w:spacing w:after="0" w:line="240" w:lineRule="auto"/>
        <w:rPr>
          <w:rFonts w:ascii="PMingLiU" w:eastAsia="PMingLiU" w:hAnsi="PMingLiU"/>
          <w:sz w:val="22"/>
          <w:szCs w:val="22"/>
        </w:rPr>
      </w:pPr>
    </w:p>
    <w:p w14:paraId="599D096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據蔣毓英「台灣府志」載說：台灣縣：知縣一員、縣丞一員、典史一員、新港巡檢司巡檢一員、澎湖巡檢司巡檢一員。鳳山縣：知縣一員、典史一員、下淡水巡檢司巡檢一員。諸羅縣：知縣一員、典史一員、佳里興巡檢司巡檢一員。．．．．．．·台灣縣儒學教諭一員，鳳山縣儒學教諭一員，諸羅縣儒學教論一員（註3）。</w:t>
      </w:r>
    </w:p>
    <w:p w14:paraId="787EC7B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2C10875" w14:textId="77777777" w:rsidR="006360C9" w:rsidRPr="006360C9" w:rsidRDefault="006360C9" w:rsidP="006360C9">
      <w:pPr>
        <w:spacing w:after="0" w:line="240" w:lineRule="auto"/>
        <w:rPr>
          <w:rFonts w:ascii="PMingLiU" w:eastAsia="PMingLiU" w:hAnsi="PMingLiU"/>
          <w:sz w:val="22"/>
          <w:szCs w:val="22"/>
        </w:rPr>
      </w:pPr>
    </w:p>
    <w:p w14:paraId="326E3AE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可見清領台灣之初於台灣、鳳山和諸羅各縣除皆設知縣一名外，並皆設有教諭、巡檢和典史，台灣縣尙設有縣丞。由此顯見台灣當時之官2治組織比中國大陸其他地方來得簡單，除未設主簿、倉庫大使等官外，亦未設訓導。</w:t>
      </w:r>
    </w:p>
    <w:p w14:paraId="49D6BE4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E4EAE7E" w14:textId="77777777" w:rsidR="006360C9" w:rsidRPr="006360C9" w:rsidRDefault="006360C9" w:rsidP="006360C9">
      <w:pPr>
        <w:spacing w:after="0" w:line="240" w:lineRule="auto"/>
        <w:rPr>
          <w:rFonts w:ascii="PMingLiU" w:eastAsia="PMingLiU" w:hAnsi="PMingLiU"/>
          <w:sz w:val="22"/>
          <w:szCs w:val="22"/>
        </w:rPr>
      </w:pPr>
    </w:p>
    <w:p w14:paraId="3B88E58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知縣為一縣之最高文職官員，台灣亦是如此。根據「台灣史料」一書的記載，在康熙時代舉凡台、鳳、諸各該縣之司法裁判、租稅征收、科舉試務、禮教祀典、公共工程、地方治安、社會福祉等事項皆為各該知縣之職責。</w:t>
      </w:r>
    </w:p>
    <w:p w14:paraId="0DDB1A8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99591C0" w14:textId="77777777" w:rsidR="006360C9" w:rsidRPr="006360C9" w:rsidRDefault="006360C9" w:rsidP="006360C9">
      <w:pPr>
        <w:spacing w:after="0" w:line="240" w:lineRule="auto"/>
        <w:rPr>
          <w:rFonts w:ascii="PMingLiU" w:eastAsia="PMingLiU" w:hAnsi="PMingLiU"/>
          <w:sz w:val="22"/>
          <w:szCs w:val="22"/>
        </w:rPr>
      </w:pPr>
    </w:p>
    <w:p w14:paraId="6A052B0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康熙時代台灣之台、鳳、諸三縣僅台灣縣設有縣丞一員，縣丞署在縣治內。縣丞官秩為正八品，係該縣之佐貳官（8），負責掌理糧馬、征稅、戶籍和緝捕等事項（註）。</w:t>
      </w:r>
    </w:p>
    <w:p w14:paraId="6350487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9F8DB6B" w14:textId="77777777" w:rsidR="006360C9" w:rsidRPr="006360C9" w:rsidRDefault="006360C9" w:rsidP="006360C9">
      <w:pPr>
        <w:spacing w:after="0" w:line="240" w:lineRule="auto"/>
        <w:rPr>
          <w:rFonts w:ascii="PMingLiU" w:eastAsia="PMingLiU" w:hAnsi="PMingLiU"/>
          <w:sz w:val="22"/>
          <w:szCs w:val="22"/>
        </w:rPr>
      </w:pPr>
    </w:p>
    <w:p w14:paraId="7B0657B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台、鳳、諸三縣之下皆設有教諭、典史各一員。</w:t>
      </w:r>
    </w:p>
    <w:p w14:paraId="3D5FB1A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B2FAACA" w14:textId="77777777" w:rsidR="006360C9" w:rsidRPr="006360C9" w:rsidRDefault="006360C9" w:rsidP="006360C9">
      <w:pPr>
        <w:spacing w:after="0" w:line="240" w:lineRule="auto"/>
        <w:rPr>
          <w:rFonts w:ascii="PMingLiU" w:eastAsia="PMingLiU" w:hAnsi="PMingLiU"/>
          <w:sz w:val="22"/>
          <w:szCs w:val="22"/>
        </w:rPr>
      </w:pPr>
    </w:p>
    <w:p w14:paraId="0EB7CDA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教諭為正八品負責各該縣之學務（註11）</w:t>
      </w:r>
    </w:p>
    <w:p w14:paraId="3C59DB22"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E38822A" w14:textId="77777777" w:rsidR="006360C9" w:rsidRPr="006360C9" w:rsidRDefault="006360C9" w:rsidP="006360C9">
      <w:pPr>
        <w:spacing w:after="0" w:line="240" w:lineRule="auto"/>
        <w:rPr>
          <w:rFonts w:ascii="PMingLiU" w:eastAsia="PMingLiU" w:hAnsi="PMingLiU"/>
          <w:sz w:val="22"/>
          <w:szCs w:val="22"/>
        </w:rPr>
      </w:pPr>
    </w:p>
    <w:p w14:paraId="38E664CB" w14:textId="77777777" w:rsidR="006360C9" w:rsidRPr="006360C9" w:rsidRDefault="006360C9" w:rsidP="006360C9">
      <w:pPr>
        <w:spacing w:after="0" w:line="240" w:lineRule="auto"/>
        <w:rPr>
          <w:rFonts w:ascii="PMingLiU" w:eastAsia="PMingLiU" w:hAnsi="PMingLiU" w:hint="eastAsia"/>
          <w:sz w:val="22"/>
          <w:szCs w:val="22"/>
        </w:rPr>
      </w:pPr>
    </w:p>
    <w:p w14:paraId="79B589E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典史官秩未入流，受知縣指揮監督，負責掌理捕務和獄務。</w:t>
      </w:r>
    </w:p>
    <w:p w14:paraId="44791C3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53B6E92" w14:textId="77777777" w:rsidR="006360C9" w:rsidRPr="006360C9" w:rsidRDefault="006360C9" w:rsidP="006360C9">
      <w:pPr>
        <w:spacing w:after="0" w:line="240" w:lineRule="auto"/>
        <w:rPr>
          <w:rFonts w:ascii="PMingLiU" w:eastAsia="PMingLiU" w:hAnsi="PMingLiU"/>
          <w:sz w:val="22"/>
          <w:szCs w:val="22"/>
        </w:rPr>
      </w:pPr>
    </w:p>
    <w:p w14:paraId="040DD10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鳳山和諸羅縣未設縣丞、主簿，因此該兩縣之典史兼理原屬縣丞和主簿之業務（註13）。</w:t>
      </w:r>
    </w:p>
    <w:p w14:paraId="2118A1E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908FDA1" w14:textId="77777777" w:rsidR="006360C9" w:rsidRPr="006360C9" w:rsidRDefault="006360C9" w:rsidP="006360C9">
      <w:pPr>
        <w:spacing w:after="0" w:line="240" w:lineRule="auto"/>
        <w:rPr>
          <w:rFonts w:ascii="PMingLiU" w:eastAsia="PMingLiU" w:hAnsi="PMingLiU"/>
          <w:sz w:val="22"/>
          <w:szCs w:val="22"/>
        </w:rPr>
      </w:pPr>
    </w:p>
    <w:p w14:paraId="78F6DEF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台、鳳、諸三縣之下皆設有巡檢司，即台灣縣下設新港巡檢司和澎湖巡檢司，鳳山縣下設淡水巡檢司，諸羅縣下設佳里興巡檢司，</w:t>
      </w:r>
    </w:p>
    <w:p w14:paraId="31D526B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593A102B" w14:textId="77777777" w:rsidR="006360C9" w:rsidRPr="006360C9" w:rsidRDefault="006360C9" w:rsidP="006360C9">
      <w:pPr>
        <w:spacing w:after="0" w:line="240" w:lineRule="auto"/>
        <w:rPr>
          <w:rFonts w:ascii="PMingLiU" w:eastAsia="PMingLiU" w:hAnsi="PMingLiU"/>
          <w:sz w:val="22"/>
          <w:szCs w:val="22"/>
        </w:rPr>
      </w:pPr>
    </w:p>
    <w:p w14:paraId="238B207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上述各巡檢司皆設巡檢一員，官秩為從九品（註15）。巡檢負責稽察地方，即捕盜賊，盤詰奸宄，皆其職責所在（註16）。然新港巡檢和澎湖巡檢尙需分別負責稽察鹿耳門和澎湖地方來往之船隻（註17）。</w:t>
      </w:r>
    </w:p>
    <w:p w14:paraId="2B69E6E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8CAF133" w14:textId="77777777" w:rsidR="006360C9" w:rsidRPr="006360C9" w:rsidRDefault="006360C9" w:rsidP="006360C9">
      <w:pPr>
        <w:spacing w:after="0" w:line="240" w:lineRule="auto"/>
        <w:rPr>
          <w:rFonts w:ascii="PMingLiU" w:eastAsia="PMingLiU" w:hAnsi="PMingLiU"/>
          <w:sz w:val="22"/>
          <w:szCs w:val="22"/>
        </w:rPr>
      </w:pPr>
    </w:p>
    <w:p w14:paraId="3C93F27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lastRenderedPageBreak/>
        <w:t>第二節雍正乾隆年間縣之組織與職掌</w:t>
      </w:r>
    </w:p>
    <w:p w14:paraId="12CA91C2" w14:textId="77777777" w:rsidR="006360C9" w:rsidRPr="006360C9" w:rsidRDefault="006360C9" w:rsidP="006360C9">
      <w:pPr>
        <w:spacing w:after="0" w:line="240" w:lineRule="auto"/>
        <w:rPr>
          <w:rFonts w:ascii="PMingLiU" w:eastAsia="PMingLiU" w:hAnsi="PMingLiU"/>
          <w:sz w:val="22"/>
          <w:szCs w:val="22"/>
        </w:rPr>
      </w:pPr>
    </w:p>
    <w:p w14:paraId="00468BF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雍正元年（西年一七二三年）滿清在諸羅縣虎尾溪以北大甲溪以南增設彰化縣，大甲溪以北設淡水捕盜同知。</w:t>
      </w:r>
    </w:p>
    <w:p w14:paraId="2D74E11E"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7ED19EF" w14:textId="77777777" w:rsidR="006360C9" w:rsidRPr="006360C9" w:rsidRDefault="006360C9" w:rsidP="006360C9">
      <w:pPr>
        <w:spacing w:after="0" w:line="240" w:lineRule="auto"/>
        <w:rPr>
          <w:rFonts w:ascii="PMingLiU" w:eastAsia="PMingLiU" w:hAnsi="PMingLiU"/>
          <w:sz w:val="22"/>
          <w:szCs w:val="22"/>
        </w:rPr>
      </w:pPr>
    </w:p>
    <w:p w14:paraId="5E08CC7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雍正五年裁撤澎湖巡檢，將之改設糧捕通知（詳見本論文第一章第二節及第二章第一節）。</w:t>
      </w:r>
    </w:p>
    <w:p w14:paraId="1299385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B1246A8" w14:textId="77777777" w:rsidR="006360C9" w:rsidRPr="006360C9" w:rsidRDefault="006360C9" w:rsidP="006360C9">
      <w:pPr>
        <w:spacing w:after="0" w:line="240" w:lineRule="auto"/>
        <w:rPr>
          <w:rFonts w:ascii="PMingLiU" w:eastAsia="PMingLiU" w:hAnsi="PMingLiU"/>
          <w:sz w:val="22"/>
          <w:szCs w:val="22"/>
        </w:rPr>
      </w:pPr>
    </w:p>
    <w:p w14:paraId="272D5C9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彰化縣設縣後，設知縣、教諭和典史各一員。根據「新竹廳志」的記載，知縣官秩正七品，受台灣知府之監督，負責掌理該縣之刑名和錢糧事務，並在淡水同知的監督下負責該縣之捕務。</w:t>
      </w:r>
    </w:p>
    <w:p w14:paraId="12460A9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410EE64" w14:textId="77777777" w:rsidR="006360C9" w:rsidRPr="006360C9" w:rsidRDefault="006360C9" w:rsidP="006360C9">
      <w:pPr>
        <w:spacing w:after="0" w:line="240" w:lineRule="auto"/>
        <w:rPr>
          <w:rFonts w:ascii="PMingLiU" w:eastAsia="PMingLiU" w:hAnsi="PMingLiU"/>
          <w:sz w:val="22"/>
          <w:szCs w:val="22"/>
        </w:rPr>
      </w:pPr>
    </w:p>
    <w:p w14:paraId="38963A4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從前述可得知彰化縣的組織規模比台、鳳、諸三縣來得稍微小些且有所不同，即既無縣丞，又無巡檢之設置。雖然如此，可是其他官治組織職掌以及差役之編制員額（不含舖司兵）都與乾隆時代的台、鳳、諸三縣無異。</w:t>
      </w:r>
    </w:p>
    <w:p w14:paraId="7645DE3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16A3DC4" w14:textId="77777777" w:rsidR="006360C9" w:rsidRPr="006360C9" w:rsidRDefault="006360C9" w:rsidP="006360C9">
      <w:pPr>
        <w:spacing w:after="0" w:line="240" w:lineRule="auto"/>
        <w:rPr>
          <w:rFonts w:ascii="PMingLiU" w:eastAsia="PMingLiU" w:hAnsi="PMingLiU"/>
          <w:sz w:val="22"/>
          <w:szCs w:val="22"/>
        </w:rPr>
      </w:pPr>
    </w:p>
    <w:p w14:paraId="13D06FF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其實即使至雍正九年左右，雖距康熙二十三年已相隔將近半個世紀，然而滿清台以來所設之台、鳳、諸三縣之官治組織職掌和差役編制員額（惟諸羅縣舖司兵由六十七名減為四十二名）也一直幾乎無所變動（註2）。</w:t>
      </w:r>
    </w:p>
    <w:p w14:paraId="3E64B9B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934760C" w14:textId="77777777" w:rsidR="006360C9" w:rsidRPr="006360C9" w:rsidRDefault="006360C9" w:rsidP="006360C9">
      <w:pPr>
        <w:spacing w:after="0" w:line="240" w:lineRule="auto"/>
        <w:rPr>
          <w:rFonts w:ascii="PMingLiU" w:eastAsia="PMingLiU" w:hAnsi="PMingLiU" w:cs="Times New Roman" w:hint="eastAsia"/>
          <w:sz w:val="22"/>
          <w:szCs w:val="22"/>
        </w:rPr>
      </w:pPr>
    </w:p>
    <w:p w14:paraId="2CA16D6C"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可見雍正九年滿清對台灣各知縣之輔助機關做了相當的調整，即將原與台灣知縣同城辦公的台灣縣縣丞移駐該縣緊要地方的羅漢門，負責稽查該地；鳳山縣在萬丹增設縣丞一員，負責管轄淡水、枋寮口一帶地方，原設在淡水之巡檢司移駐大崑麓；以笨港一帶人煙漸稠，良莠難辨，於此增設縣丞一員，負責稽查該地方並兼查出入船隻；將原設在諸羅縣佳里興之巡檢司移駐鹽水港，負責稽查該地，並查其出入船隻；</w:t>
      </w:r>
    </w:p>
    <w:p w14:paraId="47EF918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4CAE4128" w14:textId="77777777" w:rsidR="006360C9" w:rsidRPr="006360C9" w:rsidRDefault="006360C9" w:rsidP="006360C9">
      <w:pPr>
        <w:spacing w:after="0" w:line="240" w:lineRule="auto"/>
        <w:rPr>
          <w:rFonts w:ascii="PMingLiU" w:eastAsia="PMingLiU" w:hAnsi="PMingLiU"/>
          <w:sz w:val="22"/>
          <w:szCs w:val="22"/>
        </w:rPr>
      </w:pPr>
    </w:p>
    <w:p w14:paraId="54066AF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彰化縣增設貓霧拺和鹿仔港巡檢司，負責稽查各該地方，鹿仔港巡檢司尙兼查船隻（註25）。</w:t>
      </w:r>
    </w:p>
    <w:p w14:paraId="1542012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03358AA" w14:textId="77777777" w:rsidR="006360C9" w:rsidRPr="006360C9" w:rsidRDefault="006360C9" w:rsidP="006360C9">
      <w:pPr>
        <w:spacing w:after="0" w:line="240" w:lineRule="auto"/>
        <w:rPr>
          <w:rFonts w:ascii="PMingLiU" w:eastAsia="PMingLiU" w:hAnsi="PMingLiU"/>
          <w:sz w:val="22"/>
          <w:szCs w:val="22"/>
        </w:rPr>
      </w:pPr>
    </w:p>
    <w:p w14:paraId="6CDD324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清廷在雍正九年和十一年對台灣廳縣之輔助機關所做的調整，就個別的廳縣而言，看來似無多大改變，但就總體而言，其變動可說也不小；就知縣道一部分而言全台共增設了萬丹、笨港兩名縣丞，台鳳、諸、彰四縣儒學訓導，貓霧拺、鹿仔港兩名巡檢。</w:t>
      </w:r>
    </w:p>
    <w:p w14:paraId="7CDE69F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7B940DF5" w14:textId="77777777" w:rsidR="006360C9" w:rsidRPr="006360C9" w:rsidRDefault="006360C9" w:rsidP="006360C9">
      <w:pPr>
        <w:spacing w:after="0" w:line="240" w:lineRule="auto"/>
        <w:rPr>
          <w:rFonts w:ascii="PMingLiU" w:eastAsia="PMingLiU" w:hAnsi="PMingLiU"/>
          <w:sz w:val="22"/>
          <w:szCs w:val="22"/>
        </w:rPr>
      </w:pPr>
    </w:p>
    <w:p w14:paraId="79E8592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如再進一步的統計，則雍正八PDG年時台、鳳、諸、彰四縣知縣有四名、縣丞一名、教諭四名、巡檢三名、典史四名，合計有官員十六名，雍正十二年時，增加縣丞二名、巡檢二名、訓導四名，合計官員增加八名，即增加了百分之五十。</w:t>
      </w:r>
    </w:p>
    <w:p w14:paraId="61B01AD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C02411C" w14:textId="77777777" w:rsidR="006360C9" w:rsidRPr="006360C9" w:rsidRDefault="006360C9" w:rsidP="006360C9">
      <w:pPr>
        <w:spacing w:after="0" w:line="240" w:lineRule="auto"/>
        <w:rPr>
          <w:rFonts w:ascii="PMingLiU" w:eastAsia="PMingLiU" w:hAnsi="PMingLiU"/>
          <w:sz w:val="22"/>
          <w:szCs w:val="22"/>
        </w:rPr>
      </w:pPr>
    </w:p>
    <w:p w14:paraId="3D889FF2" w14:textId="77777777" w:rsidR="006360C9" w:rsidRPr="006360C9" w:rsidRDefault="006360C9" w:rsidP="006360C9">
      <w:pPr>
        <w:spacing w:after="0" w:line="240" w:lineRule="auto"/>
        <w:rPr>
          <w:rFonts w:ascii="PMingLiU" w:eastAsia="PMingLiU" w:hAnsi="PMingLiU" w:cs="Times New Roman"/>
          <w:sz w:val="22"/>
          <w:szCs w:val="22"/>
        </w:rPr>
      </w:pPr>
    </w:p>
    <w:p w14:paraId="3D6CD96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從此之後截至乾隆二十三年（西元一七五八年），台灣之知縣及其以下之各級文職機關之組織職掌和差役之編制員額，幾乎未調整，</w:t>
      </w:r>
    </w:p>
    <w:p w14:paraId="13DD6A7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049F820" w14:textId="77777777" w:rsidR="006360C9" w:rsidRPr="006360C9" w:rsidRDefault="006360C9" w:rsidP="006360C9">
      <w:pPr>
        <w:spacing w:after="0" w:line="240" w:lineRule="auto"/>
        <w:rPr>
          <w:rFonts w:ascii="PMingLiU" w:eastAsia="PMingLiU" w:hAnsi="PMingLiU"/>
          <w:sz w:val="22"/>
          <w:szCs w:val="22"/>
        </w:rPr>
      </w:pPr>
    </w:p>
    <w:p w14:paraId="20C0B380"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清乾隆二十四年彰化縣增設縣丞一員，縣丞署設在南投，</w:t>
      </w:r>
    </w:p>
    <w:p w14:paraId="1BB3011B"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3D3E26DA" w14:textId="77777777" w:rsidR="006360C9" w:rsidRPr="006360C9" w:rsidRDefault="006360C9" w:rsidP="006360C9">
      <w:pPr>
        <w:spacing w:after="0" w:line="240" w:lineRule="auto"/>
        <w:rPr>
          <w:rFonts w:ascii="PMingLiU" w:eastAsia="PMingLiU" w:hAnsi="PMingLiU" w:hint="eastAsia"/>
          <w:sz w:val="22"/>
          <w:szCs w:val="22"/>
        </w:rPr>
      </w:pPr>
    </w:p>
    <w:p w14:paraId="14653BF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由此則知乾隆二十六年，清廷會對鳳山縣縣丞、台灣縣新港巡檢司的駐紮地做過調整。即清廷以阿里港距鳳山縣治深遠，逼近「生」治安不良，流民聚處，搶竊頻聞，而原縣丞駐紮地之萬丹，民淳事，乃將鳳山縣縣丞移紮阿里港；</w:t>
      </w:r>
    </w:p>
    <w:p w14:paraId="0AB9F9C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BAFFD9E" w14:textId="77777777" w:rsidR="006360C9" w:rsidRPr="006360C9" w:rsidRDefault="006360C9" w:rsidP="006360C9">
      <w:pPr>
        <w:spacing w:after="0" w:line="240" w:lineRule="auto"/>
        <w:rPr>
          <w:rFonts w:ascii="PMingLiU" w:eastAsia="PMingLiU" w:hAnsi="PMingLiU"/>
          <w:sz w:val="22"/>
          <w:szCs w:val="22"/>
        </w:rPr>
      </w:pPr>
    </w:p>
    <w:p w14:paraId="49A1645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以石龜溪等四十三莊地方，向多游匪出沒，乃將新港巡檢司移駐毗連石龜溪等四十三莊之斗六門，將新港巡檢司盤查海口出入船隻事，責成台灣府經歷兼管。</w:t>
      </w:r>
    </w:p>
    <w:p w14:paraId="4F929A65"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lastRenderedPageBreak/>
        <w:t>張勝彥，《清代台灣廳縣制度之研究》（台北：華世出版社，1993年3月</w:t>
      </w:r>
      <w:r w:rsidRPr="006360C9">
        <w:rPr>
          <w:rFonts w:ascii="PMingLiU" w:eastAsia="PMingLiU" w:hAnsi="PMingLiU" w:hint="eastAsia"/>
          <w:sz w:val="22"/>
          <w:szCs w:val="22"/>
        </w:rPr>
        <w:t>）.pdf</w:t>
      </w:r>
    </w:p>
    <w:p w14:paraId="4639F127" w14:textId="77777777" w:rsidR="006360C9" w:rsidRPr="006360C9" w:rsidRDefault="006360C9" w:rsidP="006360C9">
      <w:pPr>
        <w:spacing w:after="0" w:line="240" w:lineRule="auto"/>
        <w:rPr>
          <w:rFonts w:ascii="PMingLiU" w:eastAsia="PMingLiU" w:hAnsi="PMingLiU"/>
          <w:sz w:val="22"/>
          <w:szCs w:val="22"/>
        </w:rPr>
      </w:pPr>
    </w:p>
    <w:p w14:paraId="37E5448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從前面各章節的探討，吾等似已可看出，除教諭、訓導外，不論知縣、縣丞、巡檢或典史，其主要職責在於維時地方社會治安，但只是抽象的了解並看不出究竟治安工作佔縣務中多大比重。</w:t>
      </w:r>
    </w:p>
    <w:p w14:paraId="7183B7D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5301B5A" w14:textId="77777777" w:rsidR="006360C9" w:rsidRPr="006360C9" w:rsidRDefault="006360C9" w:rsidP="006360C9">
      <w:pPr>
        <w:spacing w:after="0" w:line="240" w:lineRule="auto"/>
        <w:rPr>
          <w:rFonts w:ascii="PMingLiU" w:eastAsia="PMingLiU" w:hAnsi="PMingLiU"/>
          <w:sz w:val="22"/>
          <w:szCs w:val="22"/>
        </w:rPr>
      </w:pPr>
    </w:p>
    <w:p w14:paraId="019635B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不過從表3－2和3－3中皂隸、馬快、禁卒、弓兵和民壯在各衙門佔各該門差役的百分之六七以上乃至百分之百，尤其是表3－3都佔各衙門的百分之八十以上乃至百分之百，則藉此數據可確定維持地方治安乃是縣務中極為重要的工作，蓋皂隸、馬快、禁卒、弓兵和民壯的工作是與治安相關的偵查、緝捕、刑杖、獄務等事項的緣故。</w:t>
      </w:r>
    </w:p>
    <w:p w14:paraId="7A97AE8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80E82D4" w14:textId="77777777" w:rsidR="006360C9" w:rsidRPr="006360C9" w:rsidRDefault="006360C9" w:rsidP="006360C9">
      <w:pPr>
        <w:spacing w:after="0" w:line="240" w:lineRule="auto"/>
        <w:rPr>
          <w:rFonts w:ascii="PMingLiU" w:eastAsia="PMingLiU" w:hAnsi="PMingLiU"/>
          <w:sz w:val="22"/>
          <w:szCs w:val="22"/>
        </w:rPr>
      </w:pPr>
    </w:p>
    <w:p w14:paraId="4FBDB689"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如再將表3－2與表3－3加以對照，則又將發現縣務中的治安工作所佔的比重，自康熙時代截至乾隆中葉，有日漸昇高的趨勢。</w:t>
      </w:r>
    </w:p>
    <w:p w14:paraId="3C10967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63690DE6" w14:textId="77777777" w:rsidR="006360C9" w:rsidRPr="006360C9" w:rsidRDefault="006360C9" w:rsidP="006360C9">
      <w:pPr>
        <w:spacing w:after="0" w:line="240" w:lineRule="auto"/>
        <w:rPr>
          <w:rFonts w:ascii="PMingLiU" w:eastAsia="PMingLiU" w:hAnsi="PMingLiU"/>
          <w:sz w:val="22"/>
          <w:szCs w:val="22"/>
        </w:rPr>
      </w:pPr>
    </w:p>
    <w:p w14:paraId="5047130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追乾隆五十一年冬，台灣發生林爽文衆反清事變（註33），其時諸羅縣城內有些百姓會協助滿清官兵守城，乾隆帝認為該地人民此舉為急公義之舉，乃於翌年諭令改諸羅縣為嘉義縣，以示嘉勉（34），乾隆五十三年二月，清廷平定該事變。</w:t>
      </w:r>
    </w:p>
    <w:p w14:paraId="51B1277D"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444D89B" w14:textId="77777777" w:rsidR="006360C9" w:rsidRPr="006360C9" w:rsidRDefault="006360C9" w:rsidP="006360C9">
      <w:pPr>
        <w:spacing w:after="0" w:line="240" w:lineRule="auto"/>
        <w:rPr>
          <w:rFonts w:ascii="PMingLiU" w:eastAsia="PMingLiU" w:hAnsi="PMingLiU"/>
          <w:sz w:val="22"/>
          <w:szCs w:val="22"/>
        </w:rPr>
      </w:pPr>
    </w:p>
    <w:p w14:paraId="30365EE4"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就全台縣這個文職機關整個體系而言，從康熙二十三年（西元一六八四年）起至光緒二十一年（西元一八九五年）台灣割讓給日本爲止，其間有的時代幾乎沒有變動。例如康熙二十三年至康熙末年（西元一七二一年），將近半個世紀，全台縣及其以下之文職機關組織職掌和正式編制員額幾乎無所變動，</w:t>
      </w:r>
    </w:p>
    <w:p w14:paraId="30E32D97"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658CEC1" w14:textId="77777777" w:rsidR="006360C9" w:rsidRPr="006360C9" w:rsidRDefault="006360C9" w:rsidP="006360C9">
      <w:pPr>
        <w:spacing w:after="0" w:line="240" w:lineRule="auto"/>
        <w:rPr>
          <w:rFonts w:ascii="PMingLiU" w:eastAsia="PMingLiU" w:hAnsi="PMingLiU"/>
          <w:sz w:val="22"/>
          <w:szCs w:val="22"/>
        </w:rPr>
      </w:pPr>
    </w:p>
    <w:p w14:paraId="68006DD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又如雍正末年（西元一七三五年）至乾隆二十三年（西元一七五七年）的二十二年間、乾隆三十二年至五十二年的二十年間、乾隆五十五年至嘉慶十四年（西元一八○九年）的十九年間、道光二十八年（西元一八四八年）至同治七年（西元一八六八年）的二十年間的這幾個時代，全台之縣及其以下之文職機關職掌和編制也皆幾乎無所變動。</w:t>
      </w:r>
    </w:p>
    <w:p w14:paraId="7383E0D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555C0B2" w14:textId="77777777" w:rsidR="006360C9" w:rsidRPr="006360C9" w:rsidRDefault="006360C9" w:rsidP="006360C9">
      <w:pPr>
        <w:spacing w:after="0" w:line="240" w:lineRule="auto"/>
        <w:rPr>
          <w:rFonts w:ascii="PMingLiU" w:eastAsia="PMingLiU" w:hAnsi="PMingLiU"/>
          <w:sz w:val="22"/>
          <w:szCs w:val="22"/>
        </w:rPr>
      </w:pPr>
    </w:p>
    <w:p w14:paraId="65CE3AAA"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上述以外的時代，在知縣及其以下的文職機關數、組織管轄區、衙門地點、差役編制員額等，或多或少有所變動，尤其是以雍正九年至十二年，乾隆二十六年、嘉慶年間、道光年間、光緒元年和光緒十三年的變動為大。以上所指出的「不變」與「變」是就知縣及其附屬機關之增減或改設，編制員額的增減等的角度而言的。</w:t>
      </w:r>
      <w:r w:rsidRPr="006360C9">
        <w:rPr>
          <w:rFonts w:ascii="PMingLiU" w:eastAsia="PMingLiU" w:hAnsi="PMingLiU" w:cs="Times New Roman" w:hint="eastAsia"/>
          <w:sz w:val="22"/>
          <w:szCs w:val="22"/>
        </w:rPr>
        <w:t xml:space="preserve"> </w:t>
      </w:r>
    </w:p>
    <w:p w14:paraId="33AD68F8"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EA0CA70" w14:textId="77777777" w:rsidR="006360C9" w:rsidRPr="006360C9" w:rsidRDefault="006360C9" w:rsidP="006360C9">
      <w:pPr>
        <w:spacing w:after="0" w:line="240" w:lineRule="auto"/>
        <w:rPr>
          <w:rFonts w:ascii="PMingLiU" w:eastAsia="PMingLiU" w:hAnsi="PMingLiU"/>
          <w:sz w:val="22"/>
          <w:szCs w:val="22"/>
        </w:rPr>
      </w:pPr>
    </w:p>
    <w:p w14:paraId="1982E41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換言之，將個別的縣或其附屬機關抽離出來相較時，發現同一時代與不同時代或同時代的不同地點的知縣和其附屬機關，各自的組織和職掌雷同。</w:t>
      </w:r>
    </w:p>
    <w:p w14:paraId="4D74D8B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6AAAB37" w14:textId="77777777" w:rsidR="006360C9" w:rsidRPr="006360C9" w:rsidRDefault="006360C9" w:rsidP="006360C9">
      <w:pPr>
        <w:spacing w:after="0" w:line="240" w:lineRule="auto"/>
        <w:rPr>
          <w:rFonts w:ascii="PMingLiU" w:eastAsia="PMingLiU" w:hAnsi="PMingLiU"/>
          <w:sz w:val="22"/>
          <w:szCs w:val="22"/>
        </w:rPr>
      </w:pPr>
    </w:p>
    <w:p w14:paraId="2C772271"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質言之，清代台灣知縣及其附屬機關，如果說在不同的時代有所演變的話，那僅止於數量的改變，頂多可以說是視統治上或管理上的需要而做一些調整（如增減或改設知縣、縣丞、教官、巡檢等）顯然屬於技術層面的運用而已，並非制度性或結構性的改變，</w:t>
      </w:r>
    </w:p>
    <w:p w14:paraId="71710B23"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18C51F80" w14:textId="77777777" w:rsidR="006360C9" w:rsidRPr="006360C9" w:rsidRDefault="006360C9" w:rsidP="006360C9">
      <w:pPr>
        <w:spacing w:after="0" w:line="240" w:lineRule="auto"/>
        <w:rPr>
          <w:rFonts w:ascii="PMingLiU" w:eastAsia="PMingLiU" w:hAnsi="PMingLiU"/>
          <w:sz w:val="22"/>
          <w:szCs w:val="22"/>
        </w:rPr>
      </w:pPr>
    </w:p>
    <w:p w14:paraId="5D56269F"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cs="Times New Roman"/>
          <w:sz w:val="22"/>
          <w:szCs w:val="22"/>
        </w:rPr>
        <w:t>再者，清代台灣知縣制度經過兩百多年的發展，其出現過的知縣佐貳和屬官只有縣丞、教諭、訓導、巡檢和典史，至於中國大陸有些縣的佐貳和屬官，如主簿、驛丞、官、稅課司大使、醫學、陰陽學、儈會和道會等官員，在台灣都未會出現過（註84）。</w:t>
      </w:r>
    </w:p>
    <w:p w14:paraId="4D1499A6" w14:textId="77777777" w:rsidR="006360C9" w:rsidRPr="006360C9" w:rsidRDefault="006360C9" w:rsidP="006360C9">
      <w:pPr>
        <w:spacing w:after="0" w:line="240" w:lineRule="auto"/>
        <w:rPr>
          <w:rFonts w:ascii="PMingLiU" w:eastAsia="PMingLiU" w:hAnsi="PMingLiU"/>
          <w:sz w:val="22"/>
          <w:szCs w:val="22"/>
        </w:rPr>
      </w:pPr>
      <w:r w:rsidRPr="006360C9">
        <w:rPr>
          <w:rFonts w:ascii="PMingLiU" w:eastAsia="PMingLiU" w:hAnsi="PMingLiU" w:hint="eastAsia"/>
          <w:sz w:val="22"/>
          <w:szCs w:val="22"/>
          <w:highlight w:val="yellow"/>
        </w:rPr>
        <w:t>張勝彥，《清代台灣廳縣制度之研究》（台北：華世出版社，1993年3月</w:t>
      </w:r>
      <w:r w:rsidRPr="006360C9">
        <w:rPr>
          <w:rFonts w:ascii="PMingLiU" w:eastAsia="PMingLiU" w:hAnsi="PMingLiU" w:hint="eastAsia"/>
          <w:sz w:val="22"/>
          <w:szCs w:val="22"/>
        </w:rPr>
        <w:t>）.pdf</w:t>
      </w:r>
    </w:p>
    <w:p w14:paraId="2A5740C2" w14:textId="77777777" w:rsidR="006360C9" w:rsidRPr="006360C9" w:rsidRDefault="006360C9" w:rsidP="006360C9">
      <w:pPr>
        <w:spacing w:after="0" w:line="240" w:lineRule="auto"/>
        <w:rPr>
          <w:rFonts w:ascii="PMingLiU" w:eastAsia="PMingLiU" w:hAnsi="PMingLiU"/>
          <w:sz w:val="22"/>
          <w:szCs w:val="22"/>
        </w:rPr>
      </w:pPr>
    </w:p>
    <w:p w14:paraId="705C28F1" w14:textId="77777777" w:rsidR="006360C9" w:rsidRPr="006360C9" w:rsidRDefault="006360C9" w:rsidP="006360C9">
      <w:pPr>
        <w:spacing w:after="0" w:line="240" w:lineRule="auto"/>
        <w:rPr>
          <w:rFonts w:ascii="PMingLiU" w:eastAsia="PMingLiU" w:hAnsi="PMingLiU"/>
          <w:sz w:val="22"/>
          <w:szCs w:val="22"/>
        </w:rPr>
      </w:pPr>
    </w:p>
    <w:p w14:paraId="1A9B96EB" w14:textId="77777777" w:rsidR="006360C9" w:rsidRPr="006360C9" w:rsidRDefault="006360C9" w:rsidP="006360C9">
      <w:pPr>
        <w:spacing w:after="0" w:line="240" w:lineRule="auto"/>
        <w:rPr>
          <w:rFonts w:ascii="PMingLiU" w:eastAsia="PMingLiU" w:hAnsi="PMingLiU"/>
          <w:sz w:val="22"/>
          <w:szCs w:val="22"/>
        </w:rPr>
      </w:pPr>
    </w:p>
    <w:p w14:paraId="5DF98877" w14:textId="77777777" w:rsidR="006360C9" w:rsidRPr="006360C9" w:rsidRDefault="006360C9" w:rsidP="006360C9">
      <w:pPr>
        <w:spacing w:after="0" w:line="240" w:lineRule="auto"/>
        <w:rPr>
          <w:rFonts w:ascii="PMingLiU" w:eastAsia="PMingLiU" w:hAnsi="PMingLiU" w:hint="eastAsia"/>
          <w:sz w:val="22"/>
          <w:szCs w:val="22"/>
          <w:lang w:val="en-US"/>
        </w:rPr>
      </w:pPr>
    </w:p>
    <w:p w14:paraId="48F527EE" w14:textId="77777777" w:rsidR="006360C9" w:rsidRPr="006360C9" w:rsidRDefault="006360C9" w:rsidP="006360C9">
      <w:pPr>
        <w:spacing w:after="0" w:line="240" w:lineRule="auto"/>
        <w:rPr>
          <w:rFonts w:ascii="PMingLiU" w:eastAsia="PMingLiU" w:hAnsi="PMingLiU"/>
          <w:sz w:val="22"/>
          <w:szCs w:val="22"/>
        </w:rPr>
      </w:pPr>
    </w:p>
    <w:p w14:paraId="0009A21E" w14:textId="77777777" w:rsidR="00DE33B0" w:rsidRPr="006360C9" w:rsidRDefault="00DE33B0" w:rsidP="006360C9">
      <w:pPr>
        <w:spacing w:after="0" w:line="240" w:lineRule="auto"/>
        <w:rPr>
          <w:rFonts w:ascii="PMingLiU" w:eastAsia="PMingLiU" w:hAnsi="PMingLiU"/>
          <w:sz w:val="22"/>
          <w:szCs w:val="22"/>
        </w:rPr>
      </w:pPr>
    </w:p>
    <w:sectPr w:rsidR="00DE33B0" w:rsidRPr="006360C9"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0C9"/>
    <w:rsid w:val="000D1AD9"/>
    <w:rsid w:val="001E4FBD"/>
    <w:rsid w:val="00247536"/>
    <w:rsid w:val="004D16CC"/>
    <w:rsid w:val="004E2153"/>
    <w:rsid w:val="006360C9"/>
    <w:rsid w:val="00B51D8D"/>
    <w:rsid w:val="00B56244"/>
    <w:rsid w:val="00B83FDB"/>
    <w:rsid w:val="00D60BEC"/>
    <w:rsid w:val="00DE33B0"/>
    <w:rsid w:val="00DF0E56"/>
    <w:rsid w:val="00E37EB2"/>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51A04F4"/>
  <w15:chartTrackingRefBased/>
  <w15:docId w15:val="{BD964F07-B19B-244A-A89A-B815F32A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0C9"/>
  </w:style>
  <w:style w:type="paragraph" w:styleId="Heading1">
    <w:name w:val="heading 1"/>
    <w:basedOn w:val="Normal"/>
    <w:next w:val="Normal"/>
    <w:link w:val="Heading1Char"/>
    <w:uiPriority w:val="9"/>
    <w:qFormat/>
    <w:rsid w:val="00B51D8D"/>
    <w:pPr>
      <w:keepNext/>
      <w:keepLines/>
      <w:spacing w:after="0"/>
      <w:outlineLvl w:val="0"/>
    </w:pPr>
    <w:rPr>
      <w:rFonts w:ascii="PMingLiU" w:eastAsiaTheme="majorEastAsia" w:hAnsi="PMingLiU" w:cstheme="majorBidi"/>
      <w:color w:val="000000" w:themeColor="text1"/>
      <w:sz w:val="22"/>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unhideWhenUsed/>
    <w:qFormat/>
    <w:rsid w:val="00B51D8D"/>
    <w:pPr>
      <w:keepNext/>
      <w:keepLines/>
      <w:spacing w:after="0"/>
      <w:outlineLvl w:val="5"/>
    </w:pPr>
    <w:rPr>
      <w:rFonts w:asciiTheme="majorEastAsia" w:eastAsiaTheme="majorEastAsia" w:hAnsiTheme="majorEastAsia" w:cstheme="majorBidi"/>
      <w:iCs/>
      <w:color w:val="000000" w:themeColor="text1"/>
      <w:sz w:val="22"/>
    </w:rPr>
  </w:style>
  <w:style w:type="paragraph" w:styleId="Heading7">
    <w:name w:val="heading 7"/>
    <w:basedOn w:val="Normal"/>
    <w:next w:val="Normal"/>
    <w:link w:val="Heading7Char"/>
    <w:uiPriority w:val="9"/>
    <w:semiHidden/>
    <w:unhideWhenUsed/>
    <w:qFormat/>
    <w:rsid w:val="00B51D8D"/>
    <w:pPr>
      <w:keepNext/>
      <w:keepLines/>
      <w:spacing w:after="0"/>
      <w:outlineLvl w:val="6"/>
    </w:pPr>
    <w:rPr>
      <w:rFonts w:asciiTheme="majorEastAsia" w:eastAsiaTheme="majorEastAsia" w:hAnsiTheme="majorEastAsia" w:cstheme="majorBidi"/>
      <w:color w:val="000000" w:themeColor="text1"/>
      <w:sz w:val="22"/>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8D"/>
    <w:rPr>
      <w:rFonts w:ascii="PMingLiU" w:eastAsiaTheme="majorEastAsia" w:hAnsi="PMingLiU" w:cstheme="majorBidi"/>
      <w:color w:val="000000" w:themeColor="text1"/>
      <w:sz w:val="22"/>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rsid w:val="00B51D8D"/>
    <w:rPr>
      <w:rFonts w:asciiTheme="majorEastAsia" w:eastAsiaTheme="majorEastAsia" w:hAnsiTheme="majorEastAsia" w:cstheme="majorBidi"/>
      <w:iCs/>
      <w:color w:val="000000" w:themeColor="text1"/>
      <w:sz w:val="22"/>
    </w:rPr>
  </w:style>
  <w:style w:type="character" w:customStyle="1" w:styleId="Heading7Char">
    <w:name w:val="Heading 7 Char"/>
    <w:basedOn w:val="DefaultParagraphFont"/>
    <w:link w:val="Heading7"/>
    <w:uiPriority w:val="9"/>
    <w:semiHidden/>
    <w:rsid w:val="00B51D8D"/>
    <w:rPr>
      <w:rFonts w:asciiTheme="majorEastAsia" w:eastAsiaTheme="majorEastAsia" w:hAnsiTheme="majorEastAsia" w:cstheme="majorBidi"/>
      <w:color w:val="000000" w:themeColor="text1"/>
      <w:sz w:val="22"/>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0789-C8FC-A147-931A-5976454E6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19</TotalTime>
  <Pages>11</Pages>
  <Words>2478</Words>
  <Characters>14126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1</cp:revision>
  <dcterms:created xsi:type="dcterms:W3CDTF">2026-02-13T22:43:00Z</dcterms:created>
  <dcterms:modified xsi:type="dcterms:W3CDTF">2026-02-15T15:12:00Z</dcterms:modified>
</cp:coreProperties>
</file>