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914178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HK" w:eastAsia="zh-TW"/>
          <w14:ligatures w14:val="standardContextual"/>
        </w:rPr>
      </w:sdtEndPr>
      <w:sdtContent>
        <w:p w14:paraId="41E3102D" w14:textId="77777777" w:rsidR="00EB2E83" w:rsidRDefault="00EB2E83" w:rsidP="00EB2E83">
          <w:pPr>
            <w:pStyle w:val="TOCHeading"/>
          </w:pPr>
          <w:r>
            <w:t>Table of Contents</w:t>
          </w:r>
        </w:p>
        <w:p w14:paraId="3EF0571A" w14:textId="77777777" w:rsidR="00EB2E83" w:rsidRDefault="00EB2E83" w:rsidP="00EB2E83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884444" w:history="1">
            <w:r w:rsidRPr="00CE31CF">
              <w:rPr>
                <w:rStyle w:val="Hyperlink"/>
                <w:noProof/>
              </w:rPr>
              <w:t xml:space="preserve">1. </w:t>
            </w:r>
            <w:r w:rsidRPr="00CE31CF">
              <w:rPr>
                <w:rStyle w:val="Hyperlink"/>
                <w:rFonts w:hint="eastAsia"/>
                <w:noProof/>
              </w:rPr>
              <w:t>內容大要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A6899" w14:textId="77777777" w:rsidR="00EB2E83" w:rsidRDefault="00EB2E83" w:rsidP="00EB2E83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84445" w:history="1">
            <w:r w:rsidRPr="00CE31CF">
              <w:rPr>
                <w:rStyle w:val="Hyperlink"/>
                <w:noProof/>
              </w:rPr>
              <w:t xml:space="preserve">2. </w:t>
            </w:r>
            <w:r w:rsidRPr="00CE31CF">
              <w:rPr>
                <w:rStyle w:val="Hyperlink"/>
                <w:rFonts w:hint="eastAsia"/>
                <w:noProof/>
              </w:rPr>
              <w:t>結論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7B7E" w14:textId="77777777" w:rsidR="00EB2E83" w:rsidRDefault="00EB2E83" w:rsidP="00EB2E83">
          <w:r>
            <w:rPr>
              <w:b/>
              <w:bCs/>
              <w:noProof/>
            </w:rPr>
            <w:fldChar w:fldCharType="end"/>
          </w:r>
        </w:p>
      </w:sdtContent>
    </w:sdt>
    <w:p w14:paraId="11DD564F" w14:textId="77777777" w:rsidR="00EB2E83" w:rsidRDefault="00EB2E83" w:rsidP="00EB2E83">
      <w:pPr>
        <w:rPr>
          <w:rFonts w:ascii="PMingLiU" w:eastAsiaTheme="majorEastAsia" w:hAnsi="PMingLiU" w:cstheme="majorBidi"/>
          <w:color w:val="000000" w:themeColor="text1"/>
          <w:sz w:val="22"/>
          <w:szCs w:val="32"/>
        </w:rPr>
      </w:pPr>
      <w:r>
        <w:br w:type="page"/>
      </w:r>
    </w:p>
    <w:p w14:paraId="7344DDC0" w14:textId="77777777" w:rsidR="00EB2E83" w:rsidRPr="00CA17FD" w:rsidRDefault="00EB2E83" w:rsidP="00EB2E83">
      <w:pPr>
        <w:pStyle w:val="Heading1"/>
      </w:pPr>
      <w:r w:rsidRPr="00CA17FD">
        <w:lastRenderedPageBreak/>
        <w:tab/>
      </w:r>
      <w:bookmarkStart w:id="0" w:name="_Toc221884444"/>
      <w:r>
        <w:rPr>
          <w:rFonts w:hint="eastAsia"/>
        </w:rPr>
        <w:t xml:space="preserve">1. </w:t>
      </w:r>
      <w:r w:rsidRPr="00CA17FD">
        <w:rPr>
          <w:rFonts w:hint="eastAsia"/>
        </w:rPr>
        <w:t>內容大要</w:t>
      </w:r>
      <w:bookmarkEnd w:id="0"/>
    </w:p>
    <w:p w14:paraId="33FC12C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86911B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章節</w:t>
      </w:r>
    </w:p>
    <w:p w14:paraId="21D986E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第二、三章論述清代台灣社會武力的發展，以及配合武力統治的其他方法。第四、五章則是驗證前三章的說法——前者採個案、後者採地區分析。</w:t>
      </w:r>
    </w:p>
    <w:p w14:paraId="311820B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5AB97B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2E8512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在各章次序與邏輯架構方面，首章開宗明義先討論人口問題，蓋因為人口是兵防分布多寡的基礎。</w:t>
      </w:r>
    </w:p>
    <w:p w14:paraId="457D05F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85A267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583D39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其次是討論武力的本質——職業式、原住民、契約式、拜盟式，說明四大類武力個別的發展歷史。</w:t>
      </w:r>
    </w:p>
    <w:p w14:paraId="0D583E1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D51C43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E1CBC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再次是探討與武力相關的統治手段，說明武力以外的統治策略。</w:t>
      </w:r>
    </w:p>
    <w:p w14:paraId="35542C1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92B9C0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90CE10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之後接續討論發生戰爭時，各方兵力的人數分析。</w:t>
      </w:r>
    </w:p>
    <w:p w14:paraId="1E219D6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A9FC2A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DFA179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最後探討武力是否為維持區域穩定與開拓的重要因素。</w:t>
      </w:r>
    </w:p>
    <w:p w14:paraId="6E66EC4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D83D22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523464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第一章＝人口</w:t>
      </w:r>
    </w:p>
    <w:p w14:paraId="754C706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對於清代台灣人口的討論卻很少。事實上要求出清代正確的區域人口數，可說是困難度極高的事情。</w:t>
      </w:r>
    </w:p>
    <w:p w14:paraId="1081125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2AA1F5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3808D1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第二章＝官番民個別武力整合</w:t>
      </w:r>
    </w:p>
    <w:p w14:paraId="45B09DD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第二章亦分有三節，談的是官番民個別武力整合的類型，這涉及彼此合作的關係。</w:t>
      </w:r>
    </w:p>
    <w:p w14:paraId="23A3303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67CBCC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A62736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綠營</w:t>
      </w:r>
    </w:p>
    <w:p w14:paraId="6DF3470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一節先討論官方武力佈置的問題。綠營是台灣官方武力的骨幹，早有專作對此做詳細的研究。2不過本書從另一個角度思考——即班兵的駐台是否為內地武力的延伸。台灣動亂時內地再調派大軍援台，是否可說是讓這一層關係更加鞏固而已。</w:t>
      </w:r>
    </w:p>
    <w:p w14:paraId="28F9ED3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70DCD2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784A5F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綠營兵的編組雖分為馬兵、戰兵、守兵，但以台灣多山、多丘陵，又不產馬的環境，基本上以戰兵、守兵的編制為主。少了馬兵的衝鋒陷陣，台灣綠營野戰的要求降低；著重的是堅守城池、據點的陣地戰，這一點相當符合清廷在增援戰略上的安排。3</w:t>
      </w:r>
    </w:p>
    <w:p w14:paraId="06DFC92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235920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C2FBF6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番社、番屯</w:t>
      </w:r>
    </w:p>
    <w:p w14:paraId="7ECDC5D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節要討論的是原住民武力類型的問題。首先以番社為單位談起。蓋因於不論生、熟番，番社除了是生產單位外，亦是戰鬥單位；當然官方對其剿撫，亦是以各番社來進行。本書擬整理出百餘個生、熟番社後，將按區域對照綠營的部署。</w:t>
      </w:r>
    </w:p>
    <w:p w14:paraId="372C1F5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2BA98F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B8BA94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其次是番屯，這批熟番武力的出現，足以說明官、番合作牽制漢人。不過礙於番餉、番大租發放或收取難易有別，各地番戰力的維持或有不同，</w:t>
      </w:r>
    </w:p>
    <w:p w14:paraId="77E8F4C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F048D0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CA2371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綠營與番的合作在第四章中，採個案討論的方式呈現。</w:t>
      </w:r>
    </w:p>
    <w:p w14:paraId="6628D52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78745C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B8C33F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漢人武力＝民團、隘、結首、會黨</w:t>
      </w:r>
    </w:p>
    <w:p w14:paraId="3CB15FD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第三節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討論漢人武力類型的問題。首先被提出來是民團。民團之所以重要，是它最常與官方合作平定亂事。溯其演變可從事件中，義民或頭人的口號召開始，從旋聚旋散的暫時性武力，逐漸發展成清莊聯體系，最後以團練或土勇營定型。然而民團在發展的階段中，有無反撲官方的例子？西方學者研究後指出，清末官方常利用團練過當，反而削弱原有統治秩序助長農村的動亂。1如此的情況在台灣也看得到，例如：咸豐朝的林供事件、同治朝的戴潮春事件</w:t>
      </w:r>
    </w:p>
    <w:p w14:paraId="7BB5C8C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7E3DA0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B2F00E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其次是隘的形成。該制雖是全島常見的武力，但以大肚溪以北至宜蘭的數量最多。尤其從管理方式，再細分成全官隘、官四民六隘、屯隘、隘丁團體隘，更可見與官方合作關係之深。</w:t>
      </w:r>
    </w:p>
    <w:p w14:paraId="65425BA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DC32FA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407B13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其三是結首的出現。源出於宜蘭的結首制是武裝農墾的代表。爾後因為實用性質頗高，又被流傳到台北、新竹淺山地區，並且有時和隘制結合，成為一種特殊的武力整合方式。</w:t>
      </w:r>
    </w:p>
    <w:p w14:paraId="3625A65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D6BA6B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5E749B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其四是會黨的產生。「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反清復明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」或「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互助合作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」，哪個才是會黨的組成核心，將會在每個破獲的個案中充分討論。2</w:t>
      </w:r>
    </w:p>
    <w:p w14:paraId="1502E04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A62902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241274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但從清律上看，任何一種形式的結盟拜會，都是條文所禁止。而且多數的會黨，官方的色彩均相當明顯。這根本動搖了清廷對台灣統治的穩定性，屢成為統治者結合番民的武力，所要對付的對象。</w:t>
      </w:r>
    </w:p>
    <w:p w14:paraId="388B782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98C2E1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1D18A6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第三章＝台灣社會穩定的潛在因素</w:t>
      </w:r>
    </w:p>
    <w:p w14:paraId="0EB7DEB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第三章要談的是台灣社會穩定的潛在因素。</w:t>
      </w:r>
    </w:p>
    <w:p w14:paraId="3EE82D5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C20E73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552AC5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司法</w:t>
      </w:r>
    </w:p>
    <w:p w14:paraId="0FAAD94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第一節要討論的是官吏權力運作對民番的制約，簡言之就是國家機器的運作對台灣的控制程度如何。其實除了武力之外，法律也是鉗制社會的重要手段。台灣向稱動亂，「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以法制人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」成效為何，就是一個很重要的問題。西方學者運用《淡新檔案》研究時發現，北台灣居民並不畏懼遇有糾紛時採取法律行動；也非如刻板印象中，百姓選擇打官司是件「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不得已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」的事情。3</w:t>
      </w:r>
    </w:p>
    <w:p w14:paraId="285E57C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65B399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4BD928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另有研究指出包括台灣、四川、直隸在內，殘存的628件廳縣級民事檔案中，只有221件是正式鬧到開庭。其餘約2／3的案件，均在未開庭前就以和解的方式了結。4看樣子司法對於人民的影響有兩極化的呈現。</w:t>
      </w:r>
    </w:p>
    <w:p w14:paraId="67AB06C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72EFF6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109758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軍功、武科功名</w:t>
      </w:r>
    </w:p>
    <w:p w14:paraId="72EE84B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第二節是討論軍功、武科功名者出現的問題。台灣當時共取中10名武進士、297位武舉人；其中包括1名武探花，3名武解元，代表該地確有尚武之風。2</w:t>
      </w:r>
    </w:p>
    <w:p w14:paraId="43668E6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0715C6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7F3DA7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至於軍功，簡言之就是隨軍出力，而被朝廷獎賞者。3他們不管在地方武力上的號召，或是被獎賞後出任官職，其表現不亞於武科功名者，為不能小覷的一批人物。這些人在動亂時，常以「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義民首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」的姿態出現，成為官府在平亂時重要倚靠的對象。</w:t>
      </w:r>
    </w:p>
    <w:p w14:paraId="51105C9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BBD25D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2623F5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清廷對鐵器、硝磺的掌握</w:t>
      </w:r>
    </w:p>
    <w:p w14:paraId="2E23CA8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第三節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是討論鐵器、硝磺的掌握。台灣與中國西南邊省一樣，亦被嚴格禁止鐵、硝磺的流通。但台灣走私活動猖獗，亦禁不勝禁；使得合法持有武器的綠營、熟番丁時而受到挑戰。它們是影響台灣官民武力平衡的因素，亦是清廷執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以物制人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」成敗的關鍵。</w:t>
      </w:r>
    </w:p>
    <w:p w14:paraId="2E1DC7E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789E1F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FAEE22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整體來說官方對台灣管制鐵的政策是失敗的，因每次民變、械鬥、鬥毆，均能找到「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持械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」的記錄可以證明。5然而對火器的管制卻相當成功，尤其是不同口徑的大炮。所以即便在亂初，官軍無法有效彈壓，但在調集佔有絕對優勢的火器後，皆能迅速平定亂事。6</w:t>
      </w:r>
    </w:p>
    <w:p w14:paraId="4325C93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BA4B91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95D821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第四章＝官番民武力合作的個案</w:t>
      </w:r>
    </w:p>
    <w:p w14:paraId="3354AB4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第四章要談的是官番民武力合作的檢驗——從個案中舉證。</w:t>
      </w:r>
    </w:p>
    <w:p w14:paraId="523BDDD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DB9940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36FFEF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第一節要討論清代台灣的三大亂事。從清史的角度來看，在台灣發生的亂事，哪些夠資格被稱為「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國朝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之亂。清末革命黨人胡蘊玉所撰《二百六十年漢人不服滿人表》，提到四則：康熙朝的朱一貴事件、雍正朝的大事件、乾隆朝林爽文事件、嘉慶朝的蔡牽事件。1這可以當做是時論，但不是官方認定的版本。光緒二十九年（1903）清廷編訂的初等小學課本——《皇朝事略》，其內容最具代表性。清代台灣亂事被列為事功者也有四則：朱一貴事件、林爽文事件、蔡牽事件、道光朝鴉片戰爭台灣鎮道冤獄。2由此可知朱案、林案、蔡案是被公認的巨案。不過蔡牽是行蹤飄忽不定的海盜，不宜以台灣民變的標準視之。所以本書另換成清代台灣史上最後一次跨廳縣的民變——戴潮春事件，而把蔡案調整到第五章討論。</w:t>
      </w:r>
    </w:p>
    <w:p w14:paraId="6A946B2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AE047F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9364F9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br w:type="page"/>
      </w:r>
    </w:p>
    <w:p w14:paraId="6397FA71" w14:textId="77777777" w:rsidR="00EB2E83" w:rsidRPr="00CA17FD" w:rsidRDefault="00EB2E83" w:rsidP="00EB2E83">
      <w:pPr>
        <w:pStyle w:val="Heading1"/>
      </w:pPr>
      <w:r w:rsidRPr="00CA17FD">
        <w:lastRenderedPageBreak/>
        <w:tab/>
      </w:r>
      <w:bookmarkStart w:id="1" w:name="_Toc221884445"/>
      <w:r>
        <w:rPr>
          <w:rFonts w:hint="eastAsia"/>
        </w:rPr>
        <w:t xml:space="preserve">2. </w:t>
      </w:r>
      <w:r w:rsidRPr="00CA17FD">
        <w:rPr>
          <w:rFonts w:hint="eastAsia"/>
        </w:rPr>
        <w:t>結論</w:t>
      </w:r>
      <w:bookmarkEnd w:id="1"/>
    </w:p>
    <w:p w14:paraId="586FAFC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FB7EA6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清廷以武力治台，成功「穩定治台」</w:t>
      </w:r>
    </w:p>
    <w:p w14:paraId="5DA8E56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綜觀清代對台灣的治理，武力統治之道已經達到「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穩定治台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」的要求。不過這一歷史的發展，亦是經過經驗的累積才完成。</w:t>
      </w:r>
    </w:p>
    <w:p w14:paraId="3374CAA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28E36C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4D8B4F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康熙</w:t>
      </w:r>
    </w:p>
    <w:p w14:paraId="48A3D39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FF9B3A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隱患＝秘密結社</w:t>
      </w:r>
    </w:p>
    <w:p w14:paraId="396DFF6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康熙二十三年（1684）諸羅知縣季麒光最早指出台灣有三大患——賦稅之重大、民兵之難辨、蔭佔（隱田）之未清。這種百廢待舉的局面，成為治安不穩定的溫床。</w:t>
      </w:r>
    </w:p>
    <w:p w14:paraId="4BEC2EA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EC63F1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66E41D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同年季氏再撰文《嚴禁結拜示》，指出福建秘密結社的風氣，隨著移民遷徙也被帶入台灣。為了對付他們，保甲制度即刻實施。初期效果尚可，秘密結社以鄉村較為頻繁，府治縣邑較不常見。</w:t>
      </w:r>
    </w:p>
    <w:p w14:paraId="5EDFFC8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1E81F8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 xml:space="preserve"> </w:t>
      </w:r>
    </w:p>
    <w:p w14:paraId="510DB53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清廷治理手段</w:t>
      </w:r>
    </w:p>
    <w:p w14:paraId="15EDC38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</w:p>
    <w:p w14:paraId="5D7366B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保甲</w:t>
      </w:r>
    </w:p>
    <w:p w14:paraId="2F375AC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但康熙五十九年（1720）以後，保長始被無賴鑽充，保甲難以發揮功效，部分成為過事生風、架局嚇騙、窩藏匪類、肆害良民的砒政。</w:t>
      </w:r>
    </w:p>
    <w:p w14:paraId="79A38E1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28FE35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511AE1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司法</w:t>
      </w:r>
    </w:p>
    <w:p w14:paraId="024F88C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另外訟師的興起，對於治安的危害也值得注意。充當訟師最多者是武舉人。康熙朝台灣武科科舉的表現比文科還好，總共錄取</w:t>
      </w: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名武進士、</w:t>
      </w:r>
      <w:r w:rsidRPr="00CA17FD">
        <w:rPr>
          <w:rFonts w:ascii="PMingLiU" w:eastAsia="PMingLiU" w:hAnsi="PMingLiU" w:cs="Times New Roman"/>
          <w:sz w:val="22"/>
          <w:szCs w:val="22"/>
        </w:rPr>
        <w:t>54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名武舉人。不過清廷寄望他們成為武力治台的中堅力量暫時落空。由於爭訟可以獲得暴利，使得在數量上比起文科還多的武舉人，紛紛投入訟師的行列。</w:t>
      </w:r>
    </w:p>
    <w:p w14:paraId="403E585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2D0B21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B4DFA9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首次接觸生、熟番</w:t>
      </w:r>
    </w:p>
    <w:p w14:paraId="49928C6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除了民人有統治上的難處之外，亦有生、熟番的問題。康熙朝是清廷與他們首次接觸的階段，從官方的記錄來看不論生、熟番，都有武力桀驁的一面。生番以阿里山番與水沙連番最為凶悍，熟番以吞霄社、後壠社、麻少翁社、內北投社、岸里社、噍吧哖社、（芋）茅匏社、阿里史社最為不馴。他們有辦法與官相抗，其實都仗著番社絕險、距離汛防遙遠的優勢。</w:t>
      </w:r>
    </w:p>
    <w:p w14:paraId="1622263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71FCB3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9C2E2C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磺鐵與軍器的管制</w:t>
      </w:r>
    </w:p>
    <w:p w14:paraId="2482CD2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不過靠著兩大法寶——磺鐵與軍器的管制、官民武力的合作，清廷仍有能力行統治。</w:t>
      </w:r>
    </w:p>
    <w:p w14:paraId="49060BD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802194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3911D5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對於前者，康熙二十三年（</w:t>
      </w:r>
      <w:r w:rsidRPr="00CA17FD">
        <w:rPr>
          <w:rFonts w:ascii="PMingLiU" w:eastAsia="PMingLiU" w:hAnsi="PMingLiU" w:cs="Times New Roman"/>
          <w:sz w:val="22"/>
          <w:szCs w:val="22"/>
        </w:rPr>
        <w:t>1684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）禁止軍器出洋，則是一個發軔。康熙四十五年（</w:t>
      </w:r>
      <w:r w:rsidRPr="00CA17FD">
        <w:rPr>
          <w:rFonts w:ascii="PMingLiU" w:eastAsia="PMingLiU" w:hAnsi="PMingLiU" w:cs="Times New Roman"/>
          <w:sz w:val="22"/>
          <w:szCs w:val="22"/>
        </w:rPr>
        <w:t>1706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）再以行政命令，規定每年輸入台灣的鐵筋數目，嚴格地控制台民對鐵器的使用。在此措施下，番民的武力果然被約束在一定的範圍內。其中最重要的是阻隔對火器的使用與學習。</w:t>
      </w:r>
    </w:p>
    <w:p w14:paraId="011ED32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696EBB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6DC901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官、番、民的合作</w:t>
      </w:r>
    </w:p>
    <w:p w14:paraId="4690767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對於後者，清廷很早就認識因地制宜對區域穩定的重要，所以南部先採取的方式是官、番、民的合作，中部的方式是官、番為主，北部的方式是官軍一支獨大。如此的操作是有效果</w:t>
      </w:r>
    </w:p>
    <w:p w14:paraId="2F1DACF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082461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0C8CF6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6. 武力彈壓策略＝先發制人＋福建援軍＋義民</w:t>
      </w:r>
    </w:p>
    <w:p w14:paraId="72CA835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清廷在武力執行面上的成功，有兩層深刻的意義。其一，先以台灣本島的軍力彈壓動亂的地區，購線掌握情報來源，以及堵御不讓亂事蔓延，則是執行成功與否的關鍵。上述的蔡、吳二案皆是在獲得線報，先發制人的情況下順利敉平。而所有的案件，均是亂事堵御成功的佳作。由於亂事僅局限於某個地區，所以幾不構成拓墾的阻礙。</w:t>
      </w:r>
    </w:p>
    <w:p w14:paraId="5E1D1B9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DB81CE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B3910A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其二，台灣的軍力不足以壓制亂事時，則福建的援軍隨即往援。康熙六十年（1721）朱一貴事件，首次讓清廷有此經驗。</w:t>
      </w:r>
    </w:p>
    <w:p w14:paraId="1741790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5CC62D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CF8005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而在圍剿朱案過程中，還有一個發展相當重要，即首度有「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義民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出現。從朱案的例子來看，義民是先自封而後才受到敕封。在此之前地方民人有聽調隨徵的個案，但多是居於被動。現在有粵籍百姓自發性組織團練——六堆，並主動請纓幫助官府平亂，可視為民人武力整合的重要改變。</w:t>
      </w:r>
    </w:p>
    <w:p w14:paraId="61329CB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DB3FE4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D2E36F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康熙</w:t>
      </w:r>
    </w:p>
    <w:p w14:paraId="6100824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B925C4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巡台御史</w:t>
      </w:r>
    </w:p>
    <w:p w14:paraId="68EB912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雍正元年（1723）官方記錄台灣社會，仍處於「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兵民立社結盟，作盜為奸無分晝夜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」的狀態。不過三年之後，充做皇帝耳目的巡台御史，督察台灣文武官員盡心辦事，治安情況稍有改善。</w:t>
      </w:r>
    </w:p>
    <w:p w14:paraId="302D1C6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DA85A7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EA34B0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生熟番</w:t>
      </w:r>
    </w:p>
    <w:p w14:paraId="6982A73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但要知道的是雍正七年首次出現生番（山豬毛）使用火槍的記錄。因此也不排除清廷發兵於未萌，趁生番未熟練火器前大加創。</w:t>
      </w:r>
    </w:p>
    <w:p w14:paraId="5456722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366155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E4D75E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雍正八年根據署福建水師提督許良彬奏報，台灣新舊歸化的熟番戶口數已有二三萬之多。這也是清代史載首次提到全台熟番的總數。</w:t>
      </w:r>
    </w:p>
    <w:p w14:paraId="0CB1342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52B759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F4B1A7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與康熙朝相較，官方對熟番的掌握又更往北發展，網羅了新設彰化縣、淡水廳境的番社。這樣的用心是非常有必要，因為雍正九、十年（1731～1732）先後爆發的大甲西社番，以及沙轆、牛罵、南大肚社番的舉事，官軍在無力平亂之余，就是靠著岸里社，與反正的後壟、大甲東、南日南社助才能成功。彰化縣熟番的舉事，除了讓清廷再度成功地執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以番攻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」的策略外，也讓福建綠營增添渡海援台的經驗。</w:t>
      </w:r>
    </w:p>
    <w:p w14:paraId="2F44182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26096C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E84D94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南路＝盜賊</w:t>
      </w:r>
    </w:p>
    <w:p w14:paraId="3990979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對台灣來說，盜賊問題尤為嚴重。當時的「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盜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分布在幾個地方，包括：諸羅縣礁巴（台南縣玉井鎮）、角帶圍（台南縣鹽水鎮），台灣縣蔦松腳（台南縣仁德鄉）、隙仔口（台南縣山上鄉）、土地公崎（台南縣龍崎鄉）、崗山（高雄縣阿蓮鄉）、石門坑、梨仔坑（俱在高雄縣內門鄉），鳳山縣大湖（高雄縣湖內鄉）、覆鼎金（高雄市三民區）、二濫（高雄縣路竹鄉）、坪仔頭（鳳山市）、旗尾（高雄縣旗山鎮）、高朗朗（屏東縣鹽埔鄉）、阿猴街（屏東市）、深水山（高雄縣燕巢鄉）均是奸匪伏莽竊發之所。似乎越往南賊窩分布越多，至鳳山縣時已達到最高峰。</w:t>
      </w:r>
    </w:p>
    <w:p w14:paraId="7B136B8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311937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453A36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的確在官府眼中，下淡水溪以南，客莊番、漢雜居，導致好事輕生、健訟樂鬥層出不窮。</w:t>
      </w:r>
    </w:p>
    <w:p w14:paraId="57AFCE4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E8A48C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A17985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除了南路治安不穩之外，北路彰化縣也有惡化趨勢。乾隆十四年（</w:t>
      </w:r>
      <w:r w:rsidRPr="00CA17FD">
        <w:rPr>
          <w:rFonts w:ascii="PMingLiU" w:eastAsia="PMingLiU" w:hAnsi="PMingLiU" w:cs="Times New Roman"/>
          <w:sz w:val="22"/>
          <w:szCs w:val="22"/>
        </w:rPr>
        <w:t>1749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福建巡撫潘思榘的一份奏折，更道出官方眼中的彰化，已從靜謐之地轉變成難治的地方。其原因是該離郡寫遠、四靜遼闊，大批漳泉之人散住，每於偏僻曠野之處搭蓋寮廠，招伙養鴨、種地，遊手匪類借以潛藏有搶劫之事。</w:t>
      </w:r>
    </w:p>
    <w:p w14:paraId="263D3B5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619853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C18734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北路＝生番</w:t>
      </w:r>
    </w:p>
    <w:p w14:paraId="010C7FD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至於番害為患的程度則跟盜匪相反，呈現北路較南路嚴重的情況。淡水廳、彰化縣的生番被形容最為剛狠，只要一遇漢人定馬上戕害。當時生番出沒最頻繁的地方，包括頭重（南投縣名間鄉）、北頭（南投縣草屯鎮）、大婆（台中市東區）、黃竹（台中縣大里市）等處。</w:t>
      </w:r>
    </w:p>
    <w:p w14:paraId="5791CC7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F5D341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5A4334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在乾隆朝部分官員眼中，生番素喜為亂。若出兵討伐也很難直搗深山巢穴，改施恩惠未必能滿足他們。最好的辦法是示威武，懷以德意才不會讓他們作亂。如此的想法讓他們朝隔離的政策執行。</w:t>
      </w:r>
    </w:p>
    <w:p w14:paraId="074F9A8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3E843A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07814E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乾隆二十六年（1761）縱貫台灣南北的番界築成，前提有如前任閩浙總督喀爾吉善所稱：「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鑒於台灣閩粵流寓之人慣欺番眾，對生番游侵其疆土；恐將來流寓日強、番眾日弱，官府明令禁止奸徒侵犯生番。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」當然有了劃界還是不夠，因為界外的生番仍有出界獵首之虞。</w:t>
      </w:r>
    </w:p>
    <w:p w14:paraId="29C643A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61E027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851237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熟番、漢人＝隘＝防番</w:t>
      </w:r>
    </w:p>
    <w:p w14:paraId="1BCA415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為了對付他們，另一種武力的整合機制形成——隘。時論隘就是防番之地。乾隆元年（1736）北路協副將光翰，處理淡水廳後壟、中港生番出草，則是官書中最早提到隘制的地方。不過早期的隘丁並非由漢人擔任，反而是在官府的指派下讓熟番充任，其代表者是中部的岸里大社。岸里社熟番的聽調，符合官、番武力合作的操作模式。在此要求下他們亦有額外的任務，即必須護衛軍工匠入山採料。</w:t>
      </w:r>
    </w:p>
    <w:p w14:paraId="393A119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3C14C9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9A3C69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6. 台灣府理番同知＝直接控制番務</w:t>
      </w:r>
    </w:p>
    <w:p w14:paraId="0B06A69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三十二年（1767）清廷裁撤泉州府西倉同知，仿廣東理同知例以其缺新設台灣府理番同知，統轄淡水廳、彰化縣、諸羅縣的民番交涉問題（南路番務由海防同知兼任）。這是一個極重大的變革，因為它在配合乾隆二十三年（1758）罷黜漢人通事，改由熟番擔任通事的政策，揭示了官方跳過漢人的中介，欲從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間接控制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」轉變成「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直接控制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」的局面。事實上清廷對熟番的控制，可謂漸入佳境。乾隆九年（1744）官員聲稱全台熟番番社170余個、人口數不下</w:t>
      </w:r>
      <w:r w:rsidRPr="00CA17FD">
        <w:rPr>
          <w:rFonts w:ascii="PMingLiU" w:eastAsia="PMingLiU" w:hAnsi="PMingLiU" w:cs="Times New Roman"/>
          <w:sz w:val="22"/>
          <w:szCs w:val="22"/>
        </w:rPr>
        <w:t>10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余萬人，則是一個端倪。</w:t>
      </w:r>
    </w:p>
    <w:p w14:paraId="19319B8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F27D45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6091E9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7. 林爽文</w:t>
      </w:r>
    </w:p>
    <w:p w14:paraId="36E64CC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當乾隆五十一年十一月（</w:t>
      </w:r>
      <w:r w:rsidRPr="00CA17FD">
        <w:rPr>
          <w:rFonts w:ascii="PMingLiU" w:eastAsia="PMingLiU" w:hAnsi="PMingLiU" w:cs="Times New Roman"/>
          <w:sz w:val="22"/>
          <w:szCs w:val="22"/>
        </w:rPr>
        <w:t>1787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）台灣發生震驚朝廷的林爽文事件，其前因後果也就不足為奇。林案被列為高宗十全武功之一，可想見戰事規模之大。的確以台灣民變的個案而言，它也創下不少紀錄。</w:t>
      </w:r>
    </w:p>
    <w:p w14:paraId="3C1D7A8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1F1E13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759A47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會黨</w:t>
      </w:r>
    </w:p>
    <w:p w14:paraId="5508416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首先它是第一個由會黨發動的竪旗。在此之前雖早有父母會、子龍會、小刀會、添弟會、雷公會結拜於鄉里，但他們都被官府先行破獲，不構成對統治者的威脅。然而林爽文卻善用天地會的人際網絡，在台灣北、中、南發動舉事，一時讓官軍措手不及。</w:t>
      </w:r>
    </w:p>
    <w:p w14:paraId="38C0E44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B0260E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54CEB2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會黨意圖結合生番</w:t>
      </w:r>
    </w:p>
    <w:p w14:paraId="72E5A0C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其次它也是第一個意圖結合生番共同作亂的民變。透過通事杜美的幫助，林陣營原本可以聯絡到水沙連番與事。</w:t>
      </w:r>
    </w:p>
    <w:p w14:paraId="6E554D2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97CC13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20DD0F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但清廷情報，提前聯絡生番</w:t>
      </w:r>
    </w:p>
    <w:p w14:paraId="0716A07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不料卻被清廷探知，趕緊搶先一步交好水沙連十四社。同時還聯絡到屋鰲等十六社、傀儡聽調，扭轉了可能改變戰局的變數。</w:t>
      </w:r>
    </w:p>
    <w:p w14:paraId="0A1613E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C063A4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5F6292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調動福建以外兵力平台灣</w:t>
      </w:r>
    </w:p>
    <w:p w14:paraId="2F94BC7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再次它也是第一個調動福建以外兵力平台的民變。乾隆五十二年五月（1787．7）湖廣總督調職來台擔任欽差大臣的常青，最早在奏折內提出調動他省軍隊的要求。高宗滿足了他的請求，先調撥浙江、廣東綠營與八旗往援。孰料仍無法壓制林陣營的氣燄，於是再調撥湖北、湖南、貴州、廣西、江西綠營，以及江寧八旗與四川練助戰，總算平定了這場亂事。</w:t>
      </w:r>
    </w:p>
    <w:p w14:paraId="780E12A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EEE046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C2ADF2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林爽文＝用鐵器、缺火器</w:t>
      </w:r>
    </w:p>
    <w:p w14:paraId="33C05DF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最後要說明的是林爽文陣營，能夠與清廷周旋一年半之久，除了擅長野戰與游擊戰外，有能力製造大量兵器更是關鍵。其實林爽文的根據地就是大里杙——乾隆四十七年械鬥的涉案地點。由於官府平日姑息，才會有讓該地武力不斷做大，以至於一髮不可收拾。</w:t>
      </w:r>
    </w:p>
    <w:p w14:paraId="75E1DBC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4B8E4E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431CDE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不過林陣營打制的武器，多半都是刀劍等冷兵器，對於火器皆無法掌握。清廷看准了林爽文的弱點，從內地調送大批鳥槍、火炮抵台。靠著火你器猛轟建功，林陣營終於不支敗陣。</w:t>
      </w:r>
    </w:p>
    <w:p w14:paraId="35B3FC7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4EA39D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8B93B8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8. 林爽文後</w:t>
      </w:r>
    </w:p>
    <w:p w14:paraId="352C944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A40A45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番屯＝加強控制番</w:t>
      </w:r>
    </w:p>
    <w:p w14:paraId="6CEE24F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林案結束以後，清廷對台灣兵力有突破性的調整。當中最重要的是組織番。在清廷的辦理下，全台共分十二個大小屯與下轄的4000名屯丁。若按分縣的屯丁人數計算，以彰化縣部署1497名最多，依次是淡水廳的1000名、鳳山縣的800名、嘉義縣的503名、台灣縣的300名。</w:t>
      </w:r>
    </w:p>
    <w:p w14:paraId="070D769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A8A7A2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D7D367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義民＝官民武力更密切</w:t>
      </w:r>
    </w:p>
    <w:p w14:paraId="679E1B5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得利於平定林案時大批的義民的協助，官府與民人武力亦有更密切的互動。整體來說，林爽文事件讓清廷改變以往因地區不同，所造成官番民武力合作取捨上的差別。現在整個番界以西，清廷只用一種手法在操作——即一遇亂事，就是官、番、民武力一起投入平亂。</w:t>
      </w:r>
    </w:p>
    <w:p w14:paraId="378C8CD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604B81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E1791A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加強武力管制，但仍有走私</w:t>
      </w:r>
    </w:p>
    <w:p w14:paraId="093C06E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二項社會控制措施的強化也值得注意——磺鐵之禁、廣布眼線。前者方面，乾隆五十三年（1788）以前台灣沒有嚴定章程，以至於刀槍炮等物多私自藏蓄。甚至商旅往來，皆攜帶器械自衛；而盜賊假托行凶，亦執械混入其中無人盤。現在明白規定除了熟番、屯丁應用器械，以及民間菜刀、農具外，其餘如弓箭、腰刀、撻刀、半截刀、標槍、長矛之類一概禁止。同年高宗再以上諭的形式，封禁台灣淡水磺穴，並把它載入《會典》成為法律。</w:t>
      </w:r>
    </w:p>
    <w:p w14:paraId="5EE1346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0A3B8D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3F6179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對於後者，主要是捉拿「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漏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」而設。林爽文失敗後黨羽四散，部分逸匪逃入山區有復興天地會之志，乘機生事者亦所在多有。例如：乾隆五十七年（</w:t>
      </w:r>
      <w:r w:rsidRPr="00CA17FD">
        <w:rPr>
          <w:rFonts w:ascii="PMingLiU" w:eastAsia="PMingLiU" w:hAnsi="PMingLiU" w:cs="Times New Roman"/>
          <w:sz w:val="22"/>
          <w:szCs w:val="22"/>
        </w:rPr>
        <w:t>1792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）彰化縣吳光彩案、乾隆五十九年（</w:t>
      </w:r>
      <w:r w:rsidRPr="00CA17FD">
        <w:rPr>
          <w:rFonts w:ascii="PMingLiU" w:eastAsia="PMingLiU" w:hAnsi="PMingLiU" w:cs="Times New Roman"/>
          <w:sz w:val="22"/>
          <w:szCs w:val="22"/>
        </w:rPr>
        <w:t>1794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）鳳山縣鄭光彩案、乾隆六十年正月（</w:t>
      </w:r>
      <w:r w:rsidRPr="00CA17FD">
        <w:rPr>
          <w:rFonts w:ascii="PMingLiU" w:eastAsia="PMingLiU" w:hAnsi="PMingLiU" w:cs="Times New Roman"/>
          <w:sz w:val="22"/>
          <w:szCs w:val="22"/>
        </w:rPr>
        <w:t>1795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）鳳山縣陳光愛案中上述案件最重要者為陳案。因為當中的一名逸匪陳周全，逃竄至彰化縣湖仔內莊（雲林縣刺桐鄉），再次復興天地會。乾隆六十年三月（</w:t>
      </w:r>
      <w:r w:rsidRPr="00CA17FD">
        <w:rPr>
          <w:rFonts w:ascii="PMingLiU" w:eastAsia="PMingLiU" w:hAnsi="PMingLiU" w:cs="Times New Roman"/>
          <w:sz w:val="22"/>
          <w:szCs w:val="22"/>
        </w:rPr>
        <w:t>1795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）他利用縣境搶米風潮，帶領會眾竪旗，僅花費七天的時間連克鹿港與彰邑。</w:t>
      </w:r>
    </w:p>
    <w:p w14:paraId="32F5059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CE4DE4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330B04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該案是林爽文事件之後，初見規模最大的民變，本有可能成為燎原之火動蕩全台。然而經過林案的洗禮，中部官軍在反攻時，已懂得如何堵御與結好義民。因此趁周全夜宿柴坑仔（彰化縣員林鎮）不備時環攻掩殺，敉平該亂。</w:t>
      </w:r>
    </w:p>
    <w:p w14:paraId="2DE8ACA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2354AE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1885D62" w14:textId="77777777" w:rsidR="00EB2E83" w:rsidRPr="00CA17FD" w:rsidRDefault="00EB2E83" w:rsidP="00EB2E83">
      <w:pPr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br w:type="page"/>
      </w:r>
    </w:p>
    <w:p w14:paraId="4773590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9. 清代台灣武力的發展</w:t>
      </w:r>
    </w:p>
    <w:p w14:paraId="2F2B7F5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而歸納清代台灣武力的發展，總共有八個重點：</w:t>
      </w:r>
    </w:p>
    <w:p w14:paraId="32C11AF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534B1A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駐台兵力隨人口增加</w:t>
      </w:r>
    </w:p>
    <w:p w14:paraId="41901C6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其一，官方資料中的人口數，分布於軍隊人數、分布息息相關。跟雍正十三年（</w:t>
      </w:r>
      <w:r w:rsidRPr="00CA17FD">
        <w:rPr>
          <w:rFonts w:ascii="PMingLiU" w:eastAsia="PMingLiU" w:hAnsi="PMingLiU" w:cs="Times New Roman"/>
          <w:sz w:val="22"/>
          <w:szCs w:val="22"/>
        </w:rPr>
        <w:t>1735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）的人口數據相比，大抵到了乾隆二十一年（</w:t>
      </w:r>
      <w:r w:rsidRPr="00CA17FD">
        <w:rPr>
          <w:rFonts w:ascii="PMingLiU" w:eastAsia="PMingLiU" w:hAnsi="PMingLiU" w:cs="Times New Roman"/>
          <w:sz w:val="22"/>
          <w:szCs w:val="22"/>
        </w:rPr>
        <w:t>1756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台灣人口北移的現象才較為明顯。進至嘉慶朝，人口北移的行動仍持續進行，並且還往界外的噶瑪蘭發展。以往皆認為綠營的駐軍，總落後於移民的腳步。從雍正十一年（1733）北路營升格成北路協，已提早應付乾隆朝人口北移的492現象來看，方知此刻板印象稍修正。至於噶瑪蘭廳的駐軍，晚於噶瑪蘭的開拓才設立，則是本於番界限制跟駐軍早晚與否無關。</w:t>
      </w:r>
    </w:p>
    <w:p w14:paraId="509F436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8E8F2E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BBA40E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被統治者武力整合的機制</w:t>
      </w:r>
    </w:p>
    <w:p w14:paraId="6358F3B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其二，統治者與被統治者各有一套武力整合的機制，供其縱橫捭闔之用。</w:t>
      </w:r>
    </w:p>
    <w:p w14:paraId="6689F7C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5F2D698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01F6E7E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職業式、原住民、契約式、拜盟式武力的出現，足以說明台灣社會「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以武制人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層面上的需求。然而在這些武力發展的過程中，職業式永遠和拜盟式武力相對抗。前者為要效鏟除後者，刻意交好原住民、契約式武力幫襯。後者為了與前者周旋，會採化整為零的方式，滲透到職業式與契約式武力。雙方鬥法的結果，即交織成一部清代台灣軍事史。</w:t>
      </w:r>
    </w:p>
    <w:p w14:paraId="30DEB97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B7E782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DD358A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統治者武力整合的機制</w:t>
      </w:r>
    </w:p>
    <w:p w14:paraId="5FFD40F5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1B1D0B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把亂事皆盡量限制在某個區域內</w:t>
      </w:r>
    </w:p>
    <w:p w14:paraId="6DA0006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武力治台的二大核心——維持區域社會秩序的穩定、伸張統治的合法性。從第五章整體論述來看，動亂對墾務造成的阻礙有限。按照清廷武力治台的邏輯，任何一場亂事皆盡量限制在某個區域內，不致讓它擴散蔓延。從數起個案觀察，清廷的作法是成功的。若再以區域兵防比例審視，台灣郡邑長期維持高度的兵力，使得該地區武力控制最為深化。它所締造的佳績，為僅有一次被攻陷的記錄——朱一貴事件；這對在光緒前只有一府的台灣來說，有極大統治象徵意義。</w:t>
      </w:r>
    </w:p>
    <w:p w14:paraId="2E3C2AB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53E6F7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747E82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官、番、民武力合作</w:t>
      </w:r>
    </w:p>
    <w:p w14:paraId="7CA2D10C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其四，官方為了防止動亂造成燎原，所行使的購線與御，可以用來解釋 官、番、民武力合作的成敗。從竪旗、搶劫、械鬥個案來看，並非每一起事件的走勢均有跡可循，其關鍵在於武力操作面的不同。購線是先發制人的上策，若不行則以武相向進行堵御，大部分亂事均可在此之下消弭於無形。假若還是無法克制住敵焰，則請內地的軍隊支援彈壓。額</w:t>
      </w:r>
      <w:r w:rsidRPr="00CA17FD">
        <w:rPr>
          <w:rFonts w:ascii="PMingLiU" w:eastAsia="PMingLiU" w:hAnsi="PMingLiU" w:cs="Times New Roman"/>
          <w:sz w:val="22"/>
          <w:szCs w:val="22"/>
        </w:rPr>
        <w:t>204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其五，台灣綠營實際上是福建綠營台灣班兵的組合，所以短時間內福建可以挹注大量的軍隊援台，造成平亂的局部兵力優勢。表四十七的內容，則是本書整理清代台灣動亂的詳細情況。</w:t>
      </w:r>
    </w:p>
    <w:p w14:paraId="0D3ABD3D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17A74A6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71D9D39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六，台灣各地區域性差異極大，官方與番、民的合作中，前者除了居於主動的地位外，對於後二者的取捨是帶有高度的選擇性。這種因地制宜的考量，足以說明武力台有著選擇對象的彈性。乾隆五十三年（1788）以前，南部採官番民、中部採官番、北部以官方武力一支獨大，則是很好的例</w:t>
      </w: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結論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493子。雖然之後，番界以西一律採官番民武力的模式；但嘉慶朝才併入的噶瑪蘭，採取的卻是官民合作的方式。之後清廷對後山統治策略已經定調，即便到了光緒朝執行開山撫番時，穩定後山的秩序仍以官、民武力為主。</w:t>
      </w:r>
    </w:p>
    <w:p w14:paraId="4C96B559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CB7F66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8752D9A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訊息傳遞</w:t>
      </w:r>
    </w:p>
    <w:p w14:paraId="526358C4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若以訊息傳遞作為統治之道的基礎，北京一福建一台灣的消息傳送，台灣案發最快7天可傳至福建（陳周全案），最慢者53天（朱一貴案）；傳至北京最快要27天（陳周全案），最慢者130天（嘉慶漳泉械鬥）。</w:t>
      </w:r>
    </w:p>
    <w:p w14:paraId="48513FA7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003CB7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CA0D63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內地大軍援台平亂</w:t>
      </w:r>
    </w:p>
    <w:p w14:paraId="2145E05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至於內地大軍援台平亂的記錄：康熙朝一次（朱一貴案）、雍正朝一次（中部熟番案）、乾隆朝三次（黃教、漳泉械鬥、林爽文案）、嘉慶朝二次（蔡牽、漳泉械鬥案）、道光朝二次（閩粵械鬥、張丙案）、同治朝二次（戴潮春、牡丹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社案）、光緒朝二次（開山撫番、清法戰爭案），總共有十三次之多，佔具規模動亂者五十次當中的四分之一強，進而說明台武力依存度的密切。</w:t>
      </w:r>
    </w:p>
    <w:p w14:paraId="10BCD2A3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6E966F2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31F2071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其他</w:t>
      </w:r>
    </w:p>
    <w:p w14:paraId="4C2C505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七，武力本質的不同，使得台灣動亂的發展，大致呈現地區差異。以竪旗與械鬥為例，前者不管是不是由會黨所發動，內部均有序的秘密結社現象，因此武力分類屬於拜盟式則無疑問。所以只要多竪旗的地方，一定與拜盟式武力盛行有關。後者的參與者不脫契約式武力概括的對象，然有辦法發動械鬥（不管規模大小），前提是一方主觀性地認為，能以武力壓倒對方才會產生。所以只要是多械鬥的地方，應與契約式武力失衡有關。</w:t>
      </w:r>
    </w:p>
    <w:p w14:paraId="5B11EEE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A078FC0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  <w:lang w:val="en-US"/>
        </w:rPr>
      </w:pPr>
    </w:p>
    <w:p w14:paraId="6F22A58B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八，台灣官、番、民武力的強弱跟武器性能大有關係。尤其是在同、光時期，清廷引進大量的新式裝備與洋式操法，使得官方武力一枝獨秀。能挑戰它的只剩下被迫應戰，但卻擅長游擊與叢林戰的生番。至此本書可以對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穩定治台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理論下一注腳。雖說武力控制，是整個清帝國普遍性的作法。但在台灣所出現的特殊性，例如：駐軍的分布、番民武力發展、輔以武力控制、軍事經驗累積、因地制宜武力合作等問題，卻是清廷能有效統治的必要保證。</w:t>
      </w:r>
    </w:p>
    <w:p w14:paraId="1F35BBCF" w14:textId="77777777" w:rsidR="00EB2E83" w:rsidRPr="00CA17FD" w:rsidRDefault="00EB2E83" w:rsidP="00EB2E83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B72C6D8" w14:textId="77777777" w:rsidR="00EB2E83" w:rsidRPr="00A435B8" w:rsidRDefault="00EB2E83" w:rsidP="00EB2E83">
      <w:pPr>
        <w:rPr>
          <w:rFonts w:ascii="PMingLiU" w:eastAsia="PMingLiU" w:hAnsi="PMingLiU" w:cs="Times New Roman"/>
          <w:sz w:val="22"/>
          <w:szCs w:val="22"/>
        </w:rPr>
      </w:pPr>
    </w:p>
    <w:p w14:paraId="5DC198F1" w14:textId="77777777" w:rsidR="00DE33B0" w:rsidRPr="000D1AD9" w:rsidRDefault="00DE33B0" w:rsidP="00B51D8D">
      <w:pPr>
        <w:pStyle w:val="Heading6"/>
      </w:pP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8D"/>
    <w:rsid w:val="000D1AD9"/>
    <w:rsid w:val="001E4FBD"/>
    <w:rsid w:val="00247536"/>
    <w:rsid w:val="004D16CC"/>
    <w:rsid w:val="004E2153"/>
    <w:rsid w:val="00A4368D"/>
    <w:rsid w:val="00B51D8D"/>
    <w:rsid w:val="00B56244"/>
    <w:rsid w:val="00B83FDB"/>
    <w:rsid w:val="00DE33B0"/>
    <w:rsid w:val="00DF0E56"/>
    <w:rsid w:val="00E37EB2"/>
    <w:rsid w:val="00EB2E83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4C7C3"/>
  <w15:chartTrackingRefBased/>
  <w15:docId w15:val="{510941C8-CF2A-3441-B9C5-D080D5A4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E83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B2E83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2E83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EB2E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</TotalTime>
  <Pages>10</Pages>
  <Words>1802</Words>
  <Characters>10275</Characters>
  <Application>Microsoft Office Word</Application>
  <DocSecurity>0</DocSecurity>
  <Lines>85</Lines>
  <Paragraphs>24</Paragraphs>
  <ScaleCrop>false</ScaleCrop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2</cp:revision>
  <dcterms:created xsi:type="dcterms:W3CDTF">2026-02-13T06:13:00Z</dcterms:created>
  <dcterms:modified xsi:type="dcterms:W3CDTF">2026-02-13T06:14:00Z</dcterms:modified>
</cp:coreProperties>
</file>