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80279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HK" w:eastAsia="zh-TW"/>
          <w14:ligatures w14:val="standardContextual"/>
        </w:rPr>
      </w:sdtEndPr>
      <w:sdtContent>
        <w:p w14:paraId="62DA19BB" w14:textId="77777777" w:rsidR="004224CD" w:rsidRDefault="004224CD" w:rsidP="004224CD">
          <w:pPr>
            <w:pStyle w:val="TOCHeading"/>
          </w:pPr>
          <w:r>
            <w:t>Table of Contents</w:t>
          </w:r>
        </w:p>
        <w:p w14:paraId="641A0DF2" w14:textId="77777777" w:rsidR="004224CD" w:rsidRDefault="004224CD" w:rsidP="004224CD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\h \z \u </w:instrText>
          </w:r>
          <w:r>
            <w:rPr>
              <w:i w:val="0"/>
              <w:iCs w:val="0"/>
            </w:rPr>
            <w:fldChar w:fldCharType="separate"/>
          </w:r>
          <w:hyperlink w:anchor="_Toc221888551" w:history="1">
            <w:r w:rsidRPr="00EA6CF9">
              <w:rPr>
                <w:rStyle w:val="Hyperlink"/>
                <w:noProof/>
              </w:rPr>
              <w:t xml:space="preserve">1. </w:t>
            </w:r>
            <w:r w:rsidRPr="00EA6CF9">
              <w:rPr>
                <w:rStyle w:val="Hyperlink"/>
                <w:rFonts w:hint="eastAsia"/>
                <w:noProof/>
              </w:rPr>
              <w:t>臺灣難治的現象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F626" w14:textId="77777777" w:rsidR="004224CD" w:rsidRDefault="004224CD" w:rsidP="004224CD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8552" w:history="1">
            <w:r w:rsidRPr="00EA6CF9">
              <w:rPr>
                <w:rStyle w:val="Hyperlink"/>
                <w:noProof/>
              </w:rPr>
              <w:t xml:space="preserve">1. </w:t>
            </w:r>
            <w:r w:rsidRPr="00EA6CF9">
              <w:rPr>
                <w:rStyle w:val="Hyperlink"/>
                <w:rFonts w:hint="eastAsia"/>
                <w:noProof/>
              </w:rPr>
              <w:t>社會風氣敗壞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0E599" w14:textId="77777777" w:rsidR="004224CD" w:rsidRDefault="004224CD" w:rsidP="004224CD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8553" w:history="1">
            <w:r w:rsidRPr="00EA6CF9">
              <w:rPr>
                <w:rStyle w:val="Hyperlink"/>
                <w:noProof/>
              </w:rPr>
              <w:t xml:space="preserve">2. </w:t>
            </w:r>
            <w:r w:rsidRPr="00EA6CF9">
              <w:rPr>
                <w:rStyle w:val="Hyperlink"/>
                <w:rFonts w:hint="eastAsia"/>
                <w:noProof/>
              </w:rPr>
              <w:t>動亂頻繁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F798" w14:textId="77777777" w:rsidR="004224CD" w:rsidRDefault="004224CD" w:rsidP="004224CD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8554" w:history="1">
            <w:r w:rsidRPr="00EA6CF9">
              <w:rPr>
                <w:rStyle w:val="Hyperlink"/>
                <w:noProof/>
              </w:rPr>
              <w:t xml:space="preserve">4. </w:t>
            </w:r>
            <w:r w:rsidRPr="00EA6CF9">
              <w:rPr>
                <w:rStyle w:val="Hyperlink"/>
                <w:rFonts w:hint="eastAsia"/>
                <w:noProof/>
              </w:rPr>
              <w:t>清廷武力治臺，卻動亂頻繁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7A55" w14:textId="77777777" w:rsidR="004224CD" w:rsidRDefault="004224CD" w:rsidP="004224CD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88555" w:history="1">
            <w:r w:rsidRPr="00EA6CF9">
              <w:rPr>
                <w:rStyle w:val="Hyperlink"/>
                <w:noProof/>
              </w:rPr>
              <w:t xml:space="preserve">2. </w:t>
            </w:r>
            <w:r w:rsidRPr="00EA6CF9">
              <w:rPr>
                <w:rStyle w:val="Hyperlink"/>
                <w:rFonts w:hint="eastAsia"/>
                <w:noProof/>
              </w:rPr>
              <w:t>臺灣難治的原因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C8F3" w14:textId="77777777" w:rsidR="004224CD" w:rsidRDefault="004224CD" w:rsidP="004224CD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8556" w:history="1">
            <w:r w:rsidRPr="00EA6CF9">
              <w:rPr>
                <w:rStyle w:val="Hyperlink"/>
                <w:noProof/>
              </w:rPr>
              <w:t xml:space="preserve">1. </w:t>
            </w:r>
            <w:r w:rsidRPr="00EA6CF9">
              <w:rPr>
                <w:rStyle w:val="Hyperlink"/>
                <w:rFonts w:hint="eastAsia"/>
                <w:noProof/>
              </w:rPr>
              <w:t>臺灣孤懸海外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9E35B" w14:textId="77777777" w:rsidR="004224CD" w:rsidRDefault="004224CD" w:rsidP="004224CD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88557" w:history="1">
            <w:r w:rsidRPr="00EA6CF9">
              <w:rPr>
                <w:rStyle w:val="Hyperlink"/>
                <w:noProof/>
              </w:rPr>
              <w:t xml:space="preserve">2. </w:t>
            </w:r>
            <w:r w:rsidRPr="00EA6CF9">
              <w:rPr>
                <w:rStyle w:val="Hyperlink"/>
                <w:rFonts w:hint="eastAsia"/>
                <w:noProof/>
              </w:rPr>
              <w:t>族群間衝突不斷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BBB4" w14:textId="77777777" w:rsidR="004224CD" w:rsidRDefault="004224CD" w:rsidP="004224CD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58" w:history="1">
            <w:r w:rsidRPr="00EA6CF9">
              <w:rPr>
                <w:rStyle w:val="Hyperlink"/>
                <w:noProof/>
              </w:rPr>
              <w:t xml:space="preserve">1. </w:t>
            </w:r>
            <w:r w:rsidRPr="00EA6CF9">
              <w:rPr>
                <w:rStyle w:val="Hyperlink"/>
                <w:rFonts w:hint="eastAsia"/>
                <w:noProof/>
              </w:rPr>
              <w:t>移民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B138" w14:textId="77777777" w:rsidR="004224CD" w:rsidRDefault="004224CD" w:rsidP="004224CD">
          <w:pPr>
            <w:pStyle w:val="TOC4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59" w:history="1">
            <w:r w:rsidRPr="00EA6CF9">
              <w:rPr>
                <w:rStyle w:val="Hyperlink"/>
                <w:noProof/>
              </w:rPr>
              <w:t xml:space="preserve">1. </w:t>
            </w:r>
            <w:r w:rsidRPr="00EA6CF9">
              <w:rPr>
                <w:rStyle w:val="Hyperlink"/>
                <w:rFonts w:hint="eastAsia"/>
                <w:noProof/>
              </w:rPr>
              <w:t>漳泉械鬪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A076" w14:textId="77777777" w:rsidR="004224CD" w:rsidRDefault="004224CD" w:rsidP="004224CD">
          <w:pPr>
            <w:pStyle w:val="TOC4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0" w:history="1">
            <w:r w:rsidRPr="00EA6CF9">
              <w:rPr>
                <w:rStyle w:val="Hyperlink"/>
                <w:noProof/>
              </w:rPr>
              <w:t xml:space="preserve">2. </w:t>
            </w:r>
            <w:r w:rsidRPr="00EA6CF9">
              <w:rPr>
                <w:rStyle w:val="Hyperlink"/>
                <w:rFonts w:hint="eastAsia"/>
                <w:noProof/>
              </w:rPr>
              <w:t>會黨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B705" w14:textId="77777777" w:rsidR="004224CD" w:rsidRDefault="004224CD" w:rsidP="004224CD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1" w:history="1">
            <w:r w:rsidRPr="00EA6CF9">
              <w:rPr>
                <w:rStyle w:val="Hyperlink"/>
                <w:noProof/>
              </w:rPr>
              <w:t xml:space="preserve">2. </w:t>
            </w:r>
            <w:r w:rsidRPr="00EA6CF9">
              <w:rPr>
                <w:rStyle w:val="Hyperlink"/>
                <w:rFonts w:hint="eastAsia"/>
                <w:noProof/>
              </w:rPr>
              <w:t>原住民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00BA" w14:textId="77777777" w:rsidR="004224CD" w:rsidRDefault="004224CD" w:rsidP="004224CD">
          <w:pPr>
            <w:pStyle w:val="TOC4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2" w:history="1">
            <w:r w:rsidRPr="00EA6CF9">
              <w:rPr>
                <w:rStyle w:val="Hyperlink"/>
                <w:noProof/>
              </w:rPr>
              <w:t xml:space="preserve">4. </w:t>
            </w:r>
            <w:r w:rsidRPr="00EA6CF9">
              <w:rPr>
                <w:rStyle w:val="Hyperlink"/>
                <w:rFonts w:hint="eastAsia"/>
                <w:noProof/>
              </w:rPr>
              <w:t>生番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A51B" w14:textId="77777777" w:rsidR="004224CD" w:rsidRDefault="004224CD" w:rsidP="004224CD">
          <w:pPr>
            <w:pStyle w:val="TOC5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3" w:history="1">
            <w:r w:rsidRPr="00EA6CF9">
              <w:rPr>
                <w:rStyle w:val="Hyperlink"/>
                <w:rFonts w:hint="eastAsia"/>
                <w:noProof/>
              </w:rPr>
              <w:t>未歸化的生番武力強悍，和熟番、漢人衝突不斷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C5DD" w14:textId="77777777" w:rsidR="004224CD" w:rsidRDefault="004224CD" w:rsidP="004224CD">
          <w:pPr>
            <w:pStyle w:val="TOC5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4" w:history="1">
            <w:r w:rsidRPr="00EA6CF9">
              <w:rPr>
                <w:rStyle w:val="Hyperlink"/>
                <w:rFonts w:hint="eastAsia"/>
                <w:noProof/>
              </w:rPr>
              <w:t>生番即使歸化，也不代表不會和其他族群有衝突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8CF3" w14:textId="77777777" w:rsidR="004224CD" w:rsidRDefault="004224CD" w:rsidP="004224CD">
          <w:pPr>
            <w:pStyle w:val="TOC4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5" w:history="1">
            <w:r w:rsidRPr="00EA6CF9">
              <w:rPr>
                <w:rStyle w:val="Hyperlink"/>
                <w:noProof/>
              </w:rPr>
              <w:t xml:space="preserve">5. </w:t>
            </w:r>
            <w:r w:rsidRPr="00EA6CF9">
              <w:rPr>
                <w:rStyle w:val="Hyperlink"/>
                <w:rFonts w:hint="eastAsia"/>
                <w:noProof/>
              </w:rPr>
              <w:t>熟番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FBB4" w14:textId="77777777" w:rsidR="004224CD" w:rsidRDefault="004224CD" w:rsidP="004224CD">
          <w:pPr>
            <w:pStyle w:val="TOC5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8566" w:history="1">
            <w:r w:rsidRPr="00EA6CF9">
              <w:rPr>
                <w:rStyle w:val="Hyperlink"/>
                <w:rFonts w:hint="eastAsia"/>
                <w:noProof/>
              </w:rPr>
              <w:t>和清廷長期接觸，雍正朝後不具威脅，受清廷役使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DEF6C" w14:textId="77777777" w:rsidR="004224CD" w:rsidRDefault="004224CD" w:rsidP="004224CD">
          <w:r>
            <w:rPr>
              <w:i/>
              <w:iCs/>
            </w:rPr>
            <w:fldChar w:fldCharType="end"/>
          </w:r>
        </w:p>
      </w:sdtContent>
    </w:sdt>
    <w:p w14:paraId="4CD6FA92" w14:textId="77777777" w:rsidR="004224CD" w:rsidRDefault="004224CD" w:rsidP="004224CD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6E5781F0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20B84B" w14:textId="77777777" w:rsidR="004224CD" w:rsidRPr="0056317D" w:rsidRDefault="004224CD" w:rsidP="004224CD">
      <w:pPr>
        <w:pStyle w:val="Heading1"/>
        <w:rPr>
          <w:rFonts w:hint="eastAsia"/>
        </w:rPr>
      </w:pPr>
      <w:r w:rsidRPr="0056317D">
        <w:tab/>
      </w:r>
      <w:bookmarkStart w:id="0" w:name="_Toc221888551"/>
      <w:r w:rsidRPr="0056317D">
        <w:rPr>
          <w:rFonts w:hint="eastAsia"/>
        </w:rPr>
        <w:t>1. 臺灣難治的現象</w:t>
      </w:r>
      <w:bookmarkEnd w:id="0"/>
    </w:p>
    <w:p w14:paraId="384AE27F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E00664" w14:textId="77777777" w:rsidR="004224CD" w:rsidRPr="0056317D" w:rsidRDefault="004224CD" w:rsidP="004224CD">
      <w:pPr>
        <w:pStyle w:val="Heading2"/>
        <w:rPr>
          <w:rFonts w:hint="eastAsia"/>
        </w:rPr>
      </w:pPr>
      <w:r w:rsidRPr="0056317D">
        <w:tab/>
      </w:r>
      <w:r w:rsidRPr="0056317D">
        <w:tab/>
      </w:r>
      <w:bookmarkStart w:id="1" w:name="_Toc221888552"/>
      <w:r w:rsidRPr="0056317D">
        <w:rPr>
          <w:rFonts w:hint="eastAsia"/>
        </w:rPr>
        <w:t>1. 社會風氣敗壞</w:t>
      </w:r>
      <w:bookmarkEnd w:id="1"/>
    </w:p>
    <w:p w14:paraId="4C620584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清代臺灣社會的情况到底怎樣，凡是到臺的實地觀察者，或多或少都留下了記錄，由他們的記載，約略可以體會出清代臺灣的社會風氣。</w:t>
      </w:r>
    </w:p>
    <w:p w14:paraId="677A74F7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FE603AA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278C18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（一）「臺灣孤懸海外，□土沃饒，其俗奢淫，其人之漳泉民多，其性貪而戆；粵之惠、潮、嘉應次之，其性而險，要皆好勝而尙氣，喜聞而輕生，無因睚眦微口，動輒糾眾械，焚搶殺人，執而問之，自亦不能無所是，直一富而無□之區，遂致有分類之案。然地方文武帶兵趕至亦即解散，尙不敢公然抗拒。而紳士富戶，除各護持鄉人，類多明悉禮義，不為附和行兇，此臺灣之民性似不難設化以化導之也。」</w:t>
      </w:r>
    </w:p>
    <w:p w14:paraId="06362773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6941921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A94E33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（二）「今天逞強而健鬪，輕死而重財者，泉州之俗也；好無情，好勝無理，樗蒲、女妓、頑童、檳榔、鴉片日寢食而死生之，泉州之所以為俗也，臺灣人固兼有之。·鳳山之民狡而狠，嘉義、彰化之民畜而悍，淡水之民愚，噶瑪蘭之民貧，惟臺灣附郡幅員短狹，艋舺通商戶多殷實，其民稍為純良易治！」</w:t>
      </w:r>
    </w:p>
    <w:p w14:paraId="1CDDF28D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9AED3D5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301463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三「臺灣四面汪洋，其土饒、俗悍；故民生其間，游惰而奢侈、僻處而鬪狠，則轉移民風尤亟亟也。臣（王凱泰）創俚歌，家喻戶曉賭博之害人與鴉片之流毒，鐲陋習以敦儉樸、正錮婢以召祥和。詞訟之多牽控也，則嚴禁羅織；城廂之多隙地也，則廣勸樹藝。時祀、清醮，奢費必戒；械鬪、紮厝，重犯必懲，庶幾漸挽回，地方有起色。」＠</w:t>
      </w:r>
    </w:p>
    <w:p w14:paraId="32F01396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F2C2647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BC541E5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由上面三段記載，可知清末的臺灣社會風氣大約是嗜利、淫亂、好鬪逞勇。</w:t>
      </w:r>
    </w:p>
    <w:p w14:paraId="797DA855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4AFC348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45E38B7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唐贊袞為臺灣道時，見臺灣招妓之風太盛，且以裝扮雜劇，稱為「臺閣」，其冶容海敗壞風俗之處，令其痛恨，故嚴禁招妓爲劇。臺地的風氣既是如此，班兵到臺後又包娼、包賭（如果不是自己開，人民只要向納規費即可開場）、典當、放高利貸、糾眾械關、搶劫、眞是壞事做盡。小者與臺地莠民沆瀣一氣，大者激起民眾結黨相抗造成臺灣社會的不安。</w:t>
      </w:r>
    </w:p>
    <w:p w14:paraId="456ABDD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B02620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</w:rPr>
        <w:tab/>
      </w:r>
    </w:p>
    <w:p w14:paraId="1577C731" w14:textId="77777777" w:rsidR="004224CD" w:rsidRPr="0056317D" w:rsidRDefault="004224CD" w:rsidP="004224CD">
      <w:pPr>
        <w:pStyle w:val="Heading2"/>
        <w:rPr>
          <w:rFonts w:hint="eastAsia"/>
        </w:rPr>
      </w:pPr>
      <w:r w:rsidRPr="0056317D">
        <w:tab/>
      </w:r>
      <w:r w:rsidRPr="0056317D">
        <w:tab/>
      </w:r>
      <w:bookmarkStart w:id="2" w:name="_Toc221888553"/>
      <w:r w:rsidRPr="0056317D">
        <w:rPr>
          <w:rFonts w:hint="eastAsia"/>
        </w:rPr>
        <w:t>2. 動亂頻繁</w:t>
      </w:r>
      <w:bookmarkEnd w:id="2"/>
    </w:p>
    <w:p w14:paraId="2F216710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hint="eastAsia"/>
          <w:sz w:val="22"/>
          <w:szCs w:val="22"/>
        </w:rPr>
        <w:t>臺灣是個所謂「三年一小亂，五年一大亂」的地區</w:t>
      </w:r>
    </w:p>
    <w:p w14:paraId="2F7B967F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495D21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086906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hint="eastAsia"/>
          <w:sz w:val="22"/>
          <w:szCs w:val="22"/>
        </w:rPr>
        <w:t>臺灣道姚瑩稱：「臺地大患三端，一為盜賊，二分類械鬪，三為謀逆，此三者雖有別，實皆匪類所為</w:t>
      </w:r>
      <w:r w:rsidRPr="0056317D">
        <w:rPr>
          <w:rFonts w:ascii="PMingLiU" w:eastAsia="PMingLiU" w:hAnsi="PMingLiU"/>
          <w:sz w:val="22"/>
          <w:szCs w:val="22"/>
        </w:rPr>
        <w:t>2</w:t>
      </w:r>
      <w:r w:rsidRPr="0056317D">
        <w:rPr>
          <w:rFonts w:ascii="PMingLiU" w:eastAsia="PMingLiU" w:hAnsi="PMingLiU" w:hint="eastAsia"/>
          <w:sz w:val="22"/>
          <w:szCs w:val="22"/>
        </w:rPr>
        <w:t>。」所謂盜賊之患，卽犯有「強盜殺人，放火燒人房屋（臺地特稱之為紮厝）：姦人妻女，打牢獄倉庫」等罪行</w:t>
      </w:r>
    </w:p>
    <w:p w14:paraId="655EC251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F5183C6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53947C6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hint="eastAsia"/>
          <w:sz w:val="22"/>
          <w:szCs w:val="22"/>
        </w:rPr>
        <w:t>從上表可知，康熙時期動亂有九次，占5．84％；雍正朝八次，占5．33％；乾隆朝三十二次，占20．78％；嘉慶朝十七次，占11．03％；道光朝三十次，占19．48％；咸豐朝十四次，占9．09％；光緒朝三十六次，占23．38％。</w:t>
      </w:r>
    </w:p>
    <w:p w14:paraId="31837915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BC8E1BD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488D19A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hint="eastAsia"/>
          <w:sz w:val="22"/>
          <w:szCs w:val="22"/>
        </w:rPr>
        <w:t>若由朝代年來計算，則康熙時每4．2年有一次動亂；雍正時每1．625年；乾隆時每1．875年；嘉慶每1．47年；道光每0．96年；咸豐每0．78年，同治每1．857年，光緒每0．58年。</w:t>
      </w:r>
    </w:p>
    <w:p w14:paraId="0FDDAE6E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6796F41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BADDA6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56317D">
        <w:rPr>
          <w:rFonts w:ascii="PMingLiU" w:eastAsia="PMingLiU" w:hAnsi="PMingLiU"/>
          <w:sz w:val="22"/>
          <w:szCs w:val="22"/>
        </w:rPr>
        <w:tab/>
      </w:r>
      <w:r w:rsidRPr="0056317D">
        <w:rPr>
          <w:rFonts w:ascii="PMingLiU" w:eastAsia="PMingLiU" w:hAnsi="PMingLiU" w:cs="Times New Roman"/>
          <w:sz w:val="22"/>
          <w:szCs w:val="22"/>
        </w:rPr>
        <w:tab/>
      </w:r>
      <w:r w:rsidRPr="0056317D">
        <w:rPr>
          <w:rFonts w:ascii="PMingLiU" w:eastAsia="PMingLiU" w:hAnsi="PMingLiU" w:cs="Times New Roman" w:hint="eastAsia"/>
          <w:sz w:val="22"/>
          <w:szCs w:val="22"/>
        </w:rPr>
        <w:t>3.</w:t>
      </w:r>
      <w:r w:rsidRPr="0056317D">
        <w:rPr>
          <w:rFonts w:ascii="PMingLiU" w:eastAsia="PMingLiU" w:hAnsi="PMingLiU" w:hint="eastAsia"/>
        </w:rPr>
        <w:t xml:space="preserve"> 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動亂種類</w:t>
      </w:r>
    </w:p>
    <w:p w14:paraId="17A1117E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</w:rPr>
        <w:t>道光十四年（</w:t>
      </w:r>
      <w:r w:rsidRPr="0056317D">
        <w:rPr>
          <w:rFonts w:ascii="PMingLiU" w:eastAsia="PMingLiU" w:hAnsi="PMingLiU" w:cs="Times New Roman"/>
          <w:sz w:val="22"/>
          <w:szCs w:val="22"/>
        </w:rPr>
        <w:t>1834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）臺灣道劉鴻翱就已提到臺灣社會動亂的禍首，一是竪旗，二是搶劫，三是械鬥，四是因故鬥毆，五是獄訟。</w:t>
      </w:r>
      <w:r w:rsidRPr="0056317D">
        <w:rPr>
          <w:rFonts w:ascii="PMingLiU" w:eastAsia="PMingLiU" w:hAnsi="PMingLiU" w:cs="Times New Roman"/>
          <w:sz w:val="22"/>
          <w:szCs w:val="22"/>
        </w:rPr>
        <w:t>7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扣除最後二者不論，前三者一旦有警，即常有燎原之勢。</w:t>
      </w:r>
    </w:p>
    <w:p w14:paraId="1928C15A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B8E6479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B15A70" w14:textId="77777777" w:rsidR="004224CD" w:rsidRPr="0056317D" w:rsidRDefault="004224CD" w:rsidP="004224CD">
      <w:pPr>
        <w:pStyle w:val="Heading2"/>
        <w:rPr>
          <w:rFonts w:hint="eastAsia"/>
        </w:rPr>
      </w:pPr>
      <w:r>
        <w:lastRenderedPageBreak/>
        <w:tab/>
      </w:r>
      <w:r>
        <w:tab/>
      </w:r>
      <w:bookmarkStart w:id="3" w:name="_Toc221888554"/>
      <w:r>
        <w:rPr>
          <w:rFonts w:hint="eastAsia"/>
        </w:rPr>
        <w:t>4</w:t>
      </w:r>
      <w:r w:rsidRPr="0056317D">
        <w:rPr>
          <w:rFonts w:hint="eastAsia"/>
        </w:rPr>
        <w:t>. 清廷武力治臺，卻動亂頻繁</w:t>
      </w:r>
      <w:bookmarkEnd w:id="3"/>
    </w:p>
    <w:p w14:paraId="1EE7446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</w:rPr>
        <w:t>有趣的是本書雖一再強調清廷武力治臺的重要，但熟悉清代臺灣史的人都知道，多動亂是當時社會的現象。如何解釋統治者想要求治，卻又與事實相違的矛盾。</w:t>
      </w:r>
    </w:p>
    <w:p w14:paraId="29388C86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973A760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4E8FEA4" w14:textId="77777777" w:rsidR="004224CD" w:rsidRDefault="004224CD" w:rsidP="004224CD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597DC1A7" w14:textId="77777777" w:rsidR="004224CD" w:rsidRPr="0056317D" w:rsidRDefault="004224CD" w:rsidP="004224CD">
      <w:pPr>
        <w:pStyle w:val="Heading1"/>
      </w:pPr>
      <w:r w:rsidRPr="0056317D">
        <w:lastRenderedPageBreak/>
        <w:tab/>
      </w:r>
      <w:bookmarkStart w:id="4" w:name="_Toc221888555"/>
      <w:r w:rsidRPr="0056317D">
        <w:rPr>
          <w:rFonts w:hint="eastAsia"/>
        </w:rPr>
        <w:t>2. 臺灣難治的原因</w:t>
      </w:r>
      <w:bookmarkEnd w:id="4"/>
    </w:p>
    <w:p w14:paraId="487B08F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14021D" w14:textId="77777777" w:rsidR="004224CD" w:rsidRPr="0056317D" w:rsidRDefault="004224CD" w:rsidP="004224CD">
      <w:pPr>
        <w:pStyle w:val="Heading2"/>
        <w:rPr>
          <w:rFonts w:hint="eastAsia"/>
        </w:rPr>
      </w:pPr>
      <w:r w:rsidRPr="0056317D">
        <w:tab/>
      </w:r>
      <w:r w:rsidRPr="0056317D">
        <w:tab/>
      </w:r>
      <w:bookmarkStart w:id="5" w:name="_Toc221888556"/>
      <w:r w:rsidRPr="0056317D">
        <w:rPr>
          <w:rFonts w:hint="eastAsia"/>
        </w:rPr>
        <w:t>1. 臺灣孤懸海外</w:t>
      </w:r>
      <w:bookmarkEnd w:id="5"/>
    </w:p>
    <w:p w14:paraId="21A1DB38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</w:rPr>
        <w:t>臺灣偏處海隅，閩浙總督在控制臺灣的軍事上，有其先天上的限制，臺灣鎭道也因「隔海文書往返，不能尅期，軍中朝夕百變，若事事請命，則貽誤矣！」</w:t>
      </w:r>
    </w:p>
    <w:p w14:paraId="5963AE2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01D4B49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EDE1B0A" w14:textId="77777777" w:rsidR="004224CD" w:rsidRDefault="004224CD" w:rsidP="004224CD">
      <w:pPr>
        <w:pStyle w:val="Heading2"/>
      </w:pPr>
      <w:r>
        <w:tab/>
      </w:r>
      <w:r>
        <w:tab/>
      </w:r>
      <w:bookmarkStart w:id="6" w:name="_Toc221888557"/>
      <w:r>
        <w:rPr>
          <w:rFonts w:hint="eastAsia"/>
        </w:rPr>
        <w:t>2. 族群間衝突不斷</w:t>
      </w:r>
      <w:bookmarkEnd w:id="6"/>
    </w:p>
    <w:p w14:paraId="09C0419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更甚的是，臺地動亂有個特徵，卽北路起事，南路響應，反之，南路起事，北路亦望風景從；海上侵襲者，復常與內地人民勾結</w:t>
      </w:r>
    </w:p>
    <w:p w14:paraId="2FA0704E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9013A40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7F2481E3" w14:textId="77777777" w:rsidR="004224CD" w:rsidRPr="0056317D" w:rsidRDefault="004224CD" w:rsidP="004224CD">
      <w:pPr>
        <w:pStyle w:val="Heading3"/>
        <w:rPr>
          <w:rFonts w:hint="eastAsia"/>
        </w:rPr>
      </w:pPr>
      <w:r w:rsidRPr="0056317D">
        <w:tab/>
      </w:r>
      <w:r w:rsidRPr="0056317D">
        <w:tab/>
      </w:r>
      <w:bookmarkStart w:id="7" w:name="_Toc221888558"/>
      <w:r>
        <w:rPr>
          <w:rFonts w:hint="eastAsia"/>
        </w:rPr>
        <w:t>1</w:t>
      </w:r>
      <w:r w:rsidRPr="0056317D">
        <w:rPr>
          <w:rFonts w:hint="eastAsia"/>
        </w:rPr>
        <w:t>. 移民</w:t>
      </w:r>
      <w:bookmarkEnd w:id="7"/>
    </w:p>
    <w:p w14:paraId="3697DD19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</w:rPr>
        <w:t>然客觀的環境，讓清廷對這群移民保持謹慎的態度。理由是閩粵原鄉不同於中國其他地方，有三種特殊的社會現象——大規模的宗族組織、反官方的行動、宗族間的世仇，使得官府不得不小心提防，這就是清廷治理臺灣的基本態度。</w:t>
      </w:r>
    </w:p>
    <w:p w14:paraId="7B09D6AE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37DBFCE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341F92" w14:textId="77777777" w:rsidR="004224CD" w:rsidRPr="0056317D" w:rsidRDefault="004224CD" w:rsidP="004224CD">
      <w:pPr>
        <w:pStyle w:val="Heading4"/>
        <w:rPr>
          <w:rFonts w:hint="eastAsia"/>
        </w:rPr>
      </w:pPr>
      <w:r w:rsidRPr="0056317D">
        <w:tab/>
      </w:r>
      <w:r w:rsidRPr="0056317D">
        <w:tab/>
      </w:r>
      <w:r w:rsidRPr="0056317D">
        <w:tab/>
      </w:r>
      <w:bookmarkStart w:id="8" w:name="_Toc221888559"/>
      <w:r w:rsidRPr="0056317D">
        <w:rPr>
          <w:rFonts w:hint="eastAsia"/>
        </w:rPr>
        <w:t>1. 漳泉械鬪</w:t>
      </w:r>
      <w:bookmarkEnd w:id="8"/>
    </w:p>
    <w:p w14:paraId="4CAC06CB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/>
          <w:sz w:val="22"/>
          <w:szCs w:val="22"/>
        </w:rPr>
        <w:t>三）漳泉兵散處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，</w:t>
      </w:r>
      <w:r w:rsidRPr="0056317D">
        <w:rPr>
          <w:rFonts w:ascii="PMingLiU" w:eastAsia="PMingLiU" w:hAnsi="PMingLiU" w:cs="Times New Roman"/>
          <w:sz w:val="22"/>
          <w:szCs w:val="22"/>
        </w:rPr>
        <w:t>各府兵之中漳泉兵占臺灣班兵的比例在一半以上。漳泉兵，人素勇健，而俗好鬪，不僅與建寧、興化之兵積不能相容，漳泉兵之間復因彼此常械闕，以致在分派班兵時，漳人不居漳莊，泉人不戍泉莊。</w:t>
      </w:r>
    </w:p>
    <w:p w14:paraId="7E8D8304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56317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56317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5E83887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8CD4121" w14:textId="77777777" w:rsidR="004224CD" w:rsidRDefault="004224CD" w:rsidP="004224CD">
      <w:pPr>
        <w:pStyle w:val="Heading4"/>
      </w:pPr>
      <w:r>
        <w:tab/>
      </w:r>
      <w:r>
        <w:tab/>
      </w:r>
      <w:r>
        <w:tab/>
      </w:r>
      <w:bookmarkStart w:id="9" w:name="_Toc221888560"/>
      <w:r>
        <w:rPr>
          <w:rFonts w:hint="eastAsia"/>
        </w:rPr>
        <w:t xml:space="preserve">2. </w:t>
      </w:r>
      <w:r w:rsidRPr="00BC05B2">
        <w:rPr>
          <w:rFonts w:hint="eastAsia"/>
        </w:rPr>
        <w:t>會黨</w:t>
      </w:r>
      <w:bookmarkEnd w:id="9"/>
    </w:p>
    <w:p w14:paraId="4548374D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</w:p>
    <w:p w14:paraId="7E7E542B" w14:textId="77777777" w:rsidR="004224CD" w:rsidRPr="00CA17FD" w:rsidRDefault="004224CD" w:rsidP="004224CD"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1. </w:t>
      </w:r>
      <w:r w:rsidRPr="00CA17FD">
        <w:rPr>
          <w:rFonts w:hint="eastAsia"/>
        </w:rPr>
        <w:t>契約、拜盟式武力</w:t>
      </w:r>
    </w:p>
    <w:p w14:paraId="4F6FF59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本節所探討的是漢人，在當時社會所形成的各種武力類型。書中所舉出的四例——民團、隘、結首、會黨，則是按其重要性與史料多寡依次排列。</w:t>
      </w:r>
    </w:p>
    <w:p w14:paraId="152DD1B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9D318DF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26DF01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會黨＝下層社會的異姓結拜團體</w:t>
      </w:r>
    </w:p>
    <w:p w14:paraId="5EA15ED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何謂會黨？若從清代官方檔案中「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結會樹黨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」來解釋，就是由下層社會的異姓結拜團體，發展而來的秘密組織。4</w:t>
      </w:r>
    </w:p>
    <w:p w14:paraId="6FC0B49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EDE396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4C6DF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學術性的用語＝秘密社會</w:t>
      </w:r>
    </w:p>
    <w:p w14:paraId="1522B4B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近代學者在研究的過程中，提出學術性的用語——秘密社會來囊括它。其定義是一種具有秘密宗旨和儀式，並且從事特殊的宗教、社會、政治活動的秘密團體。5</w:t>
      </w:r>
    </w:p>
    <w:p w14:paraId="6F7C3F4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C945C5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2A81FE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形成的原因</w:t>
      </w:r>
    </w:p>
    <w:p w14:paraId="76DC724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對於會黨形成的原因，學者看法不一：陳旭認為，會黨的發展同城鄉社會矛盾激化，以及反清復明的思想有關，但主要還是人口過多造成的結果。6</w:t>
      </w:r>
    </w:p>
    <w:p w14:paraId="0219D33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C86D0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0A5D3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秦寶琦認為，會黨同農村商品經濟的發展有密切關係。蓋因於農村商品經濟的發展，必然造成農民內部分化加劇，不善經營者被排除於農村湧入市圩，謀食維艱之余自然會透過結會以求互助。7</w:t>
      </w:r>
    </w:p>
    <w:p w14:paraId="47A5D02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2F609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98E3A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莊吉發認為閩粵移墾社會的形成，與會黨的發展有莫大的關係。其原因是當地宗族組織，大都已從血緣衍化為地緣紐帶，再衍化以經濟利益為紐帶。在各宗族彼此競爭過程中，常會激起小姓聯合抵制大姓的情形，遂興起異姓結拜的風氣。8</w:t>
      </w:r>
    </w:p>
    <w:p w14:paraId="5F619DD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F0E85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3B0F3EE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清代會黨二大系統</w:t>
      </w:r>
    </w:p>
    <w:p w14:paraId="52EC2AA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清代的會黨可分為二大系統，一為閩粵天地會系統，另一為川楚哥老會系統。兩者都曾在台灣活躍過，但並無繼承的關係。9</w:t>
      </w:r>
    </w:p>
    <w:p w14:paraId="492E597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2ACE3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F35353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天地會</w:t>
      </w:r>
    </w:p>
    <w:p w14:paraId="0746A1A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天地會是清代會黨史研究的重點對象，它是清代才出現已無疑問。只是出現於康熙朝還是乾隆朝，現有二派不同的看法，亦牽涉到對創立宗旨的歧義。</w:t>
      </w:r>
    </w:p>
    <w:p w14:paraId="3BB31E2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198FD1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3207F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6. 特點＝武力＋拜盟式</w:t>
      </w:r>
    </w:p>
    <w:p w14:paraId="2B675EF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本書不打算持續考證源頭，因為不管是政治還是社會團體，都有一共同的本質——武力。</w:t>
      </w:r>
    </w:p>
    <w:p w14:paraId="37B2652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1E01B1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7CB7A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該武力與上述最大的不同，則是反官方色彩鮮明，筆者稱之為「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拜盟式武力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549E10C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EF77CD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7CFAF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7. 清廷的認識</w:t>
      </w:r>
    </w:p>
    <w:p w14:paraId="60B43AF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D478EF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康熙＝有結社，但不見得有名稱存在</w:t>
      </w:r>
    </w:p>
    <w:p w14:paraId="3D4392A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康熙十九年（</w:t>
      </w:r>
      <w:r w:rsidRPr="00CA17FD">
        <w:rPr>
          <w:rFonts w:ascii="PMingLiU" w:eastAsia="PMingLiU" w:hAnsi="PMingLiU" w:cs="Times New Roman"/>
          <w:sz w:val="22"/>
          <w:szCs w:val="22"/>
        </w:rPr>
        <w:t>1680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）福建總督姚啓聖鑒於漳州秘密結社嚴重，同一年中發佈了《禁結社黨》、《訪禁結盟》、《申禁結盟》三件文告，但是姚的努力恐沒有多少成效，因為康熙二十三年（</w:t>
      </w:r>
      <w:r w:rsidRPr="00CA17FD">
        <w:rPr>
          <w:rFonts w:ascii="PMingLiU" w:eastAsia="PMingLiU" w:hAnsi="PMingLiU" w:cs="Times New Roman"/>
          <w:sz w:val="22"/>
          <w:szCs w:val="22"/>
        </w:rPr>
        <w:t>1684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）首任諸羅知縣季麒光即撰文《嚴禁結拜示》，警告漳泉移民結拜為首者必處以絞刑，</w:t>
      </w:r>
    </w:p>
    <w:p w14:paraId="645D3E0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821389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D8576A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值得注意的是不管是姚啓聖，還是季麒光，都沒有提到任何結社的社名或會名。可見得當時結社，不見得有名稱存在。</w:t>
      </w:r>
    </w:p>
    <w:p w14:paraId="64252D5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14A6D6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F53E4B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爾後台灣結社仍時有耳聞，只是府縣城中較少，但鄉村習以為常。康熙五十九年（</w:t>
      </w:r>
      <w:r w:rsidRPr="00CA17FD">
        <w:rPr>
          <w:rFonts w:ascii="PMingLiU" w:eastAsia="PMingLiU" w:hAnsi="PMingLiU" w:cs="Times New Roman"/>
          <w:sz w:val="22"/>
          <w:szCs w:val="22"/>
        </w:rPr>
        <w:t>1720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）台灣府歲貢生陳文達就提到：西徹台顯聚族，集異姓之人，結拜為兄弟，推一人為大哥，不論年齒；余各以行次相呼，勝於同胞，妻女不相避，以伯叔稱之。2</w:t>
      </w:r>
    </w:p>
    <w:p w14:paraId="707AAB6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0D9E9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E89C9C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康熙六十年（1721）朱一貴事件的導火線，就是台灣知府王珍濫捕結會及私伐木者二百餘人才爆發的。3</w:t>
      </w:r>
    </w:p>
    <w:p w14:paraId="070E45E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99CD01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1FE7D10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雍正三年（1725）巡台御史景考祥奏報時，提到三年前的台灣，是一個「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兵民立社結盟，作為無分晝夜；官員見其難治，惟苟且彌縫而已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」的局面。4此言若屬實，那台灣在當時可謂秘密結社的天下。</w:t>
      </w:r>
    </w:p>
    <w:p w14:paraId="1B4AEF1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C3B86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86EA5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劉平注意到會黨與土匪的關係，他指出會黨與股匪都是遊民的聚集地，雖前者不乏「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互助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」的宗旨，但從互助到進行打家劫捨僅在一線之隔。5</w:t>
      </w:r>
    </w:p>
    <w:p w14:paraId="69D9D78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52E963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46521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時至康熙朝結束，台灣的秘密結社風氣盛行，但嚴格地說還沒有形成會黨，因為仍找不到立有名稱的團體。</w:t>
      </w:r>
    </w:p>
    <w:p w14:paraId="6FC905F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DF6AFF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CA864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雍正六年＝首次破獲立有會名的結社</w:t>
      </w:r>
    </w:p>
    <w:p w14:paraId="338D436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六年四月（1728．5）台灣鎮總兵官王郡奏報，在諸羅縣茇仔林（嘉義市）訪拿一個秘密結社團體，追捕到陳斌等14人。據這些人供稱，他們拜盟除了序齒之外，還有歃血，立誓、焚表（書寫盟書）等儀式，並有銀扳指為號，亦雇請鐵匠打造軍器。在早在同年正月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大哥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」湯完家，就以父母會為名結社。這件案子對清廷來說頗為震驚，因為它是首次破獲立有會名的結社</w:t>
      </w:r>
    </w:p>
    <w:p w14:paraId="4D60A84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0258DE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BC1C16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無獨有偶在雍正六年六月（1728．7）於諸羅縣蓮池潭（嘉義市），訪拿一個也叫父母會的團體。</w:t>
      </w:r>
    </w:p>
    <w:p w14:paraId="2324F77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C3562E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20CC6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雖然二案的首犯都以死刑結案，但從犯的量刑差別很大。後者破案的時間與前者相近，所以首犯就以殺一儆百的方式處置。</w:t>
      </w:r>
    </w:p>
    <w:p w14:paraId="104E6F0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C0515D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A238D7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雍正七年＝台灣會黨發展武力的成分漸升</w:t>
      </w:r>
    </w:p>
    <w:p w14:paraId="20F7804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七年（1729）清廷仍密切監視台灣會黨的發展。根據福建總督史貽直的奏報，台灣的會黨以子龍會較為著名，其成員都是專尚勇力、角逐鬥勝少年為主。2隔年福建南澳鎮總兵官許良彬奏報，在營中發現竟有一錢會活動。3這二案說明二件事，台灣會黨發展武力的成分漸升；</w:t>
      </w:r>
    </w:p>
    <w:p w14:paraId="51FFE58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11624F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9941FC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另外福建綠營已被會黨所滲透，加入會黨的兵丁有可能成為班兵被調往台灣。</w:t>
      </w:r>
    </w:p>
    <w:p w14:paraId="3293A9D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5E6D4A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78CBB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乾隆九年（1744）閩浙總督那蘇圖接獲廷寄，要他嚴禁兵民結盟的惡風。</w:t>
      </w:r>
    </w:p>
    <w:p w14:paraId="2C2BABB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267072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898F0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原來兵科給事中胡定奏報，漳州鎮所轄的雲霄營兵膽敢結立小刀會。5之後小刀會已闖出名號，在日後訪拿的各會黨名目中，小刀會的再現總是時有耳聞。</w:t>
      </w:r>
    </w:p>
    <w:p w14:paraId="6940B3B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3A775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0085D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乾隆＝林爽文事件</w:t>
      </w:r>
    </w:p>
    <w:p w14:paraId="571A748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CF50B1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添弟會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FB7B6C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談到林爽文事件，乾隆五十一年十一月（1787．1）由他以天地會為名的舉事，可謂會黨在台灣發起民變最大的一次。一般的看法認為天地會這一次舉事是有前奏，那就是同年六月在諸羅縣發生的「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添弟會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雷公會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互鬥案。1但筆者認為彼此涉案程度不高。從福建水師提督黃仕簡的奏報來看，該案是兄弟鬩牆鬧分家產未遂的結果。只是與以往不同的是，兩會的互鬥造成的燒殺搶掠，波及石榴班（雲林縣鬥六市）的汛兵，且驚動北路協副將赫生額親自率兵彈壓。審視添弟會、雷公會立會的目的，簡言之就是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互助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」為主。然他們不似之前破獲的任何一個秘密結社或會黨，其引發動亂的規模實在太大（共102人參與／38名被正法），才讓人因「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添弟會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天地會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」的諧音而有政治企圖的聯想。</w:t>
      </w:r>
    </w:p>
    <w:p w14:paraId="55EC551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68A7C1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9C8A6B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「添弟會」與「天地會」諧音，清廷清剿「天地會」</w:t>
      </w:r>
    </w:p>
    <w:p w14:paraId="51B1E66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這樣的懷疑先從高宗身上開始，在他一聲令下展開了前所未見的搜捕行動。2包括：一、繼續捉拿添會與雷公會逃往福建的「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漏逆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」。3二、釐清天地會是從福建漳州傳來，並非台灣原生的會黨。4三、蒐集天地會內部的文件。四、修改則以地方鄉保來查訪會盟，並協同地方官、營員一塊捉拿。5</w:t>
      </w:r>
    </w:p>
    <w:p w14:paraId="30E097F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31DDE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B1BC41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「天地會」特點</w:t>
      </w:r>
    </w:p>
    <w:p w14:paraId="133E448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6D8B6C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反官方政治色彩</w:t>
      </w:r>
    </w:p>
    <w:p w14:paraId="52E8DD2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廷的行動中，以蒐集天地會內部的文件，對其瞭解最為重要。現藏中國第一歷史檔案館的《天地會盟書誓詞》，就是在乾隆五十二年（1787）從林爽文麾下大將林水身上搜查到。詳閱該書內容對天地會充滿傳奇性的記錄，其中最特殊的是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明主傳宗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」一段話，並於結尾處提到「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有善相勸，有過相規，緩急相濟口，犯相扶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」。6結尾處的話語，則是印證了會黨是互助團體的說法</w:t>
      </w:r>
    </w:p>
    <w:p w14:paraId="4A796B2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F116BC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6151C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明主傳宗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」的口號提出，使得台灣的會黨從一社會團體，逐漸摻入政治色彩，而更帶有反官方的成分。</w:t>
      </w:r>
    </w:p>
    <w:p w14:paraId="128AB22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DE270B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0B0CC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從上述可以發現，所謂的會黨時至清末，其功能還是以「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互助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居多。當然互助的意思是負面的示範，均指打家劫捨、製造衝突、擾亂社會秩序等；但就是沒有提出政治性的訴求，挑戰清廷的統治權力。直到戴潮春的天地會一出，乾隆以來摻有政治色彩的會黨，又重新再現。不過官方對戴立的天地會，一開始仍有迷惑。</w:t>
      </w:r>
    </w:p>
    <w:p w14:paraId="79F6D2B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CFF745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1E81E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擴大吸收會員</w:t>
      </w:r>
    </w:p>
    <w:p w14:paraId="106B188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天地會與台灣之前各會黨不同之處，除了高舉政治大旗外，傳承與擴大吸收會員是其特色。舉其大要包括：人會者每人發一腰牌作為識別，名字則登記於會成為名冊，最重要的是要取得「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花帖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」，才有資格進行傳會。1</w:t>
      </w:r>
    </w:p>
    <w:p w14:paraId="7799763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559277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584D153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朝台灣會黨屢除屢起，從功能論的觀點來看，一定是環境的因素，迫使官方所稱的莠民鋌而走險。然所謂的功能是什麼呢？各會黨立會的目的，已把答案說得很明白。可說都是為了以縣為範圍的小團體衝突，所興起的一種武力聚合。</w:t>
      </w:r>
    </w:p>
    <w:p w14:paraId="2033D64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FAFCF2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AA42C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乾隆後，法律並無法阻止會黨的興起</w:t>
      </w:r>
    </w:p>
    <w:p w14:paraId="1CD1076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嘉慶二十一年（1816）當海盜風消息時，清廷即研擬修例，把命盜、洋匪、會匪合一處理。這當中提到兵役、眼線實心辦公訪查弋獲者固多。雖然不乏挾嫌害，但也明瞭之前欲運用鄉保來懲治會黨，發揮了一定的實效。3</w:t>
      </w:r>
    </w:p>
    <w:p w14:paraId="1A15502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B0FDA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6FFB17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然趨嚴的法律並無法阻止會黨的興起。道光二十一年（1841）鳳山縣民陳頭、陳衝結青龍會，趁鴉片戰爭時搶滋事。使得下淡水閩粵各莊互相驚疑，紛紛搬避有分類械鬥的前兆。5</w:t>
      </w:r>
    </w:p>
    <w:p w14:paraId="3A479B6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821F70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0F2A0C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</w:p>
    <w:p w14:paraId="32CD1262" w14:textId="77777777" w:rsidR="004224CD" w:rsidRDefault="004224CD" w:rsidP="004224CD">
      <w:pPr>
        <w:rPr>
          <w:rFonts w:ascii="PMingLiU" w:eastAsia="PMingLiU" w:hAnsi="PMingLiU"/>
        </w:rPr>
      </w:pPr>
      <w:r>
        <w:rPr>
          <w:rFonts w:ascii="PMingLiU" w:eastAsia="PMingLiU" w:hAnsi="PMingLiU"/>
        </w:rPr>
        <w:br w:type="page"/>
      </w:r>
    </w:p>
    <w:p w14:paraId="00471565" w14:textId="77777777" w:rsidR="004224CD" w:rsidRDefault="004224CD" w:rsidP="004224CD">
      <w:pPr>
        <w:pStyle w:val="Heading3"/>
      </w:pPr>
      <w:r w:rsidRPr="0056317D">
        <w:lastRenderedPageBreak/>
        <w:tab/>
      </w:r>
      <w:r w:rsidRPr="0056317D">
        <w:tab/>
      </w:r>
      <w:bookmarkStart w:id="10" w:name="_Toc221888561"/>
      <w:r>
        <w:rPr>
          <w:rFonts w:hint="eastAsia"/>
        </w:rPr>
        <w:t>2</w:t>
      </w:r>
      <w:r w:rsidRPr="0056317D">
        <w:rPr>
          <w:rFonts w:hint="eastAsia"/>
        </w:rPr>
        <w:t xml:space="preserve">. </w:t>
      </w:r>
      <w:r>
        <w:rPr>
          <w:rFonts w:hint="eastAsia"/>
        </w:rPr>
        <w:t>原住民</w:t>
      </w:r>
      <w:bookmarkEnd w:id="10"/>
    </w:p>
    <w:p w14:paraId="420C645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072FEC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番社＝原住民所居之地</w:t>
      </w:r>
    </w:p>
    <w:p w14:paraId="06A4187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何謂番社？番人所居之地稱為番社。「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」是清代台灣原住民的通稱，康熙朝按歸化程度分為土番、野番，雍正朝以後普遍改稱熟番、生番。</w:t>
      </w:r>
    </w:p>
    <w:p w14:paraId="604B6BB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870273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19C693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由各番社的通事、土目管理</w:t>
      </w:r>
    </w:p>
    <w:p w14:paraId="387DBB8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台灣在乾隆初年，一度也想改成土司管理，但考慮到該島番人彼此語言、習俗並不統屬，所以還是照舊以各番社的通事、土目領之。1可見通、土是各番社的靈魂人物，尤其官方想要動員番社人力時，非得透過他們調撥才行。</w:t>
      </w:r>
    </w:p>
    <w:p w14:paraId="4A8FDB4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DBCCD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A4F429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戴炎輝研究熟番番社的法律地位時，認為它們具有公法的法人地位，這說明瞭它們在權力、義務上與官方的關係。</w:t>
      </w:r>
    </w:p>
    <w:p w14:paraId="1DBA111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62F6E3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4A3DDF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熟番生番</w:t>
      </w:r>
    </w:p>
    <w:p w14:paraId="7D86359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C320A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番界，番界內＝熟番，外＝生番</w:t>
      </w:r>
    </w:p>
    <w:p w14:paraId="78C75F2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前者縱使不能以「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邊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」的觀點來看待，但頻繁的次數，迫使清廷考慮要如何加強緊鄰生番地帶的防務。而傳統劃界防守的觀念，被移植到了台灣——遂出現了「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」。番界可以視為一條防禦線（不是國界線），它可隨著政策的改變多作調整；清廷對於界外、界內的番社，有著不同的治理方式。</w:t>
      </w:r>
    </w:p>
    <w:p w14:paraId="1399805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DDF73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18615F0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</w:t>
      </w:r>
      <w:r w:rsidRPr="00CA17FD">
        <w:rPr>
          <w:rFonts w:hint="eastAsia"/>
          <w:sz w:val="22"/>
          <w:szCs w:val="22"/>
        </w:rPr>
        <w:t xml:space="preserve"> 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控制熟番，羈縻生番</w:t>
      </w:r>
    </w:p>
    <w:p w14:paraId="6A887BC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按統治之道，全台的番社理應由官方所掌握，但實情卻不然。光緒朝以前官府的力量，以控制熟番番社為主，對生番多采羈縻的方法維繫。3因此討論到番社做為生、熟番武力整合的類型時，可以瞭解兩者的武力，對清廷的意義是不同。</w:t>
      </w:r>
    </w:p>
    <w:p w14:paraId="110123B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C2D8B9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5011D7B" w14:textId="77777777" w:rsidR="004224CD" w:rsidRDefault="004224CD" w:rsidP="004224CD">
      <w:pPr>
        <w:pStyle w:val="Heading4"/>
      </w:pPr>
      <w:r w:rsidRPr="00CA17FD">
        <w:tab/>
      </w:r>
      <w:r w:rsidRPr="00CA17FD">
        <w:tab/>
      </w:r>
      <w:bookmarkStart w:id="11" w:name="_Toc221888562"/>
      <w:r w:rsidRPr="00CA17FD">
        <w:rPr>
          <w:rFonts w:hint="eastAsia"/>
        </w:rPr>
        <w:t>4. 生番</w:t>
      </w:r>
      <w:bookmarkEnd w:id="11"/>
    </w:p>
    <w:p w14:paraId="66D4BD4A" w14:textId="77777777" w:rsidR="004224CD" w:rsidRPr="002C38E9" w:rsidRDefault="004224CD" w:rsidP="004224CD">
      <w:pPr>
        <w:pStyle w:val="Heading5"/>
      </w:pPr>
      <w:bookmarkStart w:id="12" w:name="_Toc221888563"/>
      <w:r w:rsidRPr="002C38E9">
        <w:rPr>
          <w:rFonts w:hint="eastAsia"/>
        </w:rPr>
        <w:t>未歸化的生番武力強悍，和熟番、漢人衝突不斷</w:t>
      </w:r>
      <w:bookmarkEnd w:id="12"/>
    </w:p>
    <w:p w14:paraId="0A6EB646" w14:textId="77777777" w:rsidR="004224CD" w:rsidRPr="002C38E9" w:rsidRDefault="004224CD" w:rsidP="004224CD">
      <w:pPr>
        <w:pStyle w:val="Heading5"/>
        <w:rPr>
          <w:rFonts w:hint="eastAsia"/>
        </w:rPr>
      </w:pPr>
      <w:bookmarkStart w:id="13" w:name="_Toc221888564"/>
      <w:r w:rsidRPr="002C38E9">
        <w:rPr>
          <w:rFonts w:hint="eastAsia"/>
        </w:rPr>
        <w:t>生番即使歸化，也不代表不會和其他族群有衝突</w:t>
      </w:r>
      <w:bookmarkEnd w:id="13"/>
      <w:r>
        <w:br/>
      </w:r>
    </w:p>
    <w:p w14:paraId="54534E9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對此本書先行討論位於番界外的生番番社。</w:t>
      </w:r>
    </w:p>
    <w:p w14:paraId="1AFB6C7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A7D217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D79C55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康、雍、乾三朝，歸化少</w:t>
      </w:r>
    </w:p>
    <w:p w14:paraId="7393B4A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康、雍、乾三朝，所歸化生番番社的數目，有三個重點值得說明，一是總數，一是歸化時間，一是分布區域。</w:t>
      </w:r>
    </w:p>
    <w:p w14:paraId="0485563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A4A1C3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829D48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在總數上，三朝歸化生番番社共有182個，然再與光緒朝的673個比較，可知當時未歸化的番社遠多于歸化者。</w:t>
      </w:r>
    </w:p>
    <w:p w14:paraId="57CA473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61B91A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AAE963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歸化＝化番</w:t>
      </w:r>
    </w:p>
    <w:p w14:paraId="46C6B0A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未歸化的生番屬於「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真正的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」生番，應沒有疑問；但歸化的生番，有時也稱為「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化番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」，他們還可不可以視為生番呢？從首的習俗未除的標準來看，他們仍被視為生番。4</w:t>
      </w:r>
    </w:p>
    <w:p w14:paraId="4F74A2C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894B20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B7DE62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逐朝化番減少＝清廷漸漸放棄羈縻</w:t>
      </w:r>
    </w:p>
    <w:p w14:paraId="77F2F71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歸化時間上，康熙朝計有歸化生番社89個，雍正朝計有歸化生番社56個，乾隆朝計有歸化生番社37個。歸化番社逐遞減異透露的一件事，那就是清廷漸漸放棄羈縻的方法，改採強硬的方式對付。這就是乾隆二十六年（1761）土牛紅線划定時的背景。</w:t>
      </w:r>
    </w:p>
    <w:p w14:paraId="3EFE7C3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3F0D0E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88B163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花東地區歸化的生番數量最多，因為清廷統治力不及於此，多用羈縻</w:t>
      </w:r>
    </w:p>
    <w:p w14:paraId="5AE0363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分布區域上，鳳山縣的歸化生番社有124個排名第一，不過當中包括位於東地區的73個。其次為諸羅縣的21個，再次是彰化縣的30個，最後是淡水廳的7個。花東地區歸化的生番社數量最多，容易讓人理解。因為清廷的統治力不及於此，自然喜於用羈縻的方法維繫關係。扣除花東的部分，鳳山縣歸化生番社亦達51個，仍居前山地區第一。</w:t>
      </w:r>
    </w:p>
    <w:p w14:paraId="668BB31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862698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77104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歸化不代表衝突減少</w:t>
      </w:r>
    </w:p>
    <w:p w14:paraId="7CB90C8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然值得注意的是歸化生番番社越多，並不代表該區域漢番衝突的次數降低，</w:t>
      </w:r>
    </w:p>
    <w:p w14:paraId="6223480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E8E0C7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2A81946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另外歸化生番的「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危險性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」，遠低於未歸化者嗎？歸化以後的生番社，仍有不斷出草的個案。</w:t>
      </w:r>
    </w:p>
    <w:p w14:paraId="4827762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CECB998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098C6A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生番戰力強</w:t>
      </w:r>
    </w:p>
    <w:p w14:paraId="5008A9C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時人知道生番僅是一種泛稱，實際上他們分有許多種類，並且他們的戰力要比熟番還強。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</w:p>
    <w:p w14:paraId="77657C2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59982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2DCBE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些各種類的生番，多是以居住地命名，例如：阿里山番（鄒族）就十分強悍，鄰近的諸羅山、哆囉啯社熟番（洪雅／西拉雅族）皆畏之。水沙連番再分南、北港番（布農／泰雅族），彼此互相攻殺，但北港番較強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</w:p>
    <w:p w14:paraId="02F54E2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7C47FE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86B377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然生番以殺為事，難道都是針對漢人嗎？當然不是。雍正元年（</w:t>
      </w:r>
      <w:r w:rsidRPr="00CA17FD">
        <w:rPr>
          <w:rFonts w:ascii="PMingLiU" w:eastAsia="PMingLiU" w:hAnsi="PMingLiU" w:cs="Times New Roman"/>
          <w:sz w:val="22"/>
          <w:szCs w:val="22"/>
        </w:rPr>
        <w:t>1723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首任巡台御史黃叔璥觀察最明白，他說生番雖焚廬殺人，但啓釁多由漢人自取。例如：業主、管事輩利開墾，不論生、熟番都越界侵佔；入山搭寮見番弋取鹿只，往往竊為己有，故多遭殺戮。再者小民深入內山，抽籐鋸板不自覺侵犯到生番領域，也難逃所害。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</w:p>
    <w:p w14:paraId="743C388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550B05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8AB13B" w14:textId="77777777" w:rsidR="004224CD" w:rsidRDefault="004224CD" w:rsidP="004224CD">
      <w:pPr>
        <w:pStyle w:val="Heading4"/>
      </w:pPr>
      <w:r w:rsidRPr="00CA17FD">
        <w:tab/>
      </w:r>
      <w:r w:rsidRPr="00CA17FD">
        <w:tab/>
      </w:r>
      <w:bookmarkStart w:id="14" w:name="_Toc221888565"/>
      <w:r w:rsidRPr="00CA17FD">
        <w:rPr>
          <w:rFonts w:hint="eastAsia"/>
        </w:rPr>
        <w:t>5. 熟番</w:t>
      </w:r>
      <w:bookmarkEnd w:id="14"/>
    </w:p>
    <w:p w14:paraId="3ABE0F48" w14:textId="77777777" w:rsidR="004224CD" w:rsidRPr="002C38E9" w:rsidRDefault="004224CD" w:rsidP="004224CD">
      <w:pPr>
        <w:pStyle w:val="Heading5"/>
      </w:pPr>
      <w:bookmarkStart w:id="15" w:name="_Toc221888566"/>
      <w:r>
        <w:rPr>
          <w:rFonts w:hint="eastAsia"/>
        </w:rPr>
        <w:t>和清廷</w:t>
      </w:r>
      <w:r w:rsidRPr="002C38E9">
        <w:rPr>
          <w:rFonts w:hint="eastAsia"/>
        </w:rPr>
        <w:t>長期接觸，雍正朝</w:t>
      </w:r>
      <w:r>
        <w:rPr>
          <w:rFonts w:hint="eastAsia"/>
        </w:rPr>
        <w:t>後</w:t>
      </w:r>
      <w:r w:rsidRPr="002C38E9">
        <w:rPr>
          <w:rFonts w:hint="eastAsia"/>
        </w:rPr>
        <w:t>不具威脅</w:t>
      </w:r>
      <w:r>
        <w:rPr>
          <w:rFonts w:hint="eastAsia"/>
        </w:rPr>
        <w:t>，受清廷役使</w:t>
      </w:r>
      <w:bookmarkEnd w:id="15"/>
    </w:p>
    <w:p w14:paraId="285D17BF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64C50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然熟番的歷史卻不是這樣。他們一開始可說「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就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」了，此後與清廷保持一種權利與義務的關係。官方最終的目的是想塑造他們除了在綠營、防軍外，成為一支可以密切合作的武力。此目的是達到了，但它的演變還是要先從熟番番社談起。</w:t>
      </w:r>
    </w:p>
    <w:p w14:paraId="32E700FF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31E089B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3D179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由南往北依次歸順</w:t>
      </w:r>
    </w:p>
    <w:p w14:paraId="4CBE2025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清代台灣熟番番社的數目，總計共有154個之多；不過它們不是一開始就全部就撫，大抵是由南往北依次歸順。鳳山縣八社、台灣縣四社、諸羅縣十二社，是在康熙朝與官方來往較密切的熟番。</w:t>
      </w:r>
    </w:p>
    <w:p w14:paraId="34E3F8B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C8828E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F455CC6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Pr="00EA32A1">
        <w:rPr>
          <w:rFonts w:ascii="PMingLiU" w:eastAsia="PMingLiU" w:hAnsi="PMingLiU" w:cs="Times New Roman" w:hint="eastAsia"/>
          <w:sz w:val="22"/>
          <w:szCs w:val="22"/>
        </w:rPr>
        <w:t>長期的接觸</w:t>
      </w:r>
      <w:r>
        <w:rPr>
          <w:rFonts w:ascii="PMingLiU" w:eastAsia="PMingLiU" w:hAnsi="PMingLiU" w:cs="Times New Roman" w:hint="eastAsia"/>
          <w:sz w:val="22"/>
          <w:szCs w:val="22"/>
        </w:rPr>
        <w:t>，不具威脅</w:t>
      </w:r>
    </w:p>
    <w:p w14:paraId="1304F3F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經過長期的接觸，從康、雍朝仍有熟番是官方亟要戒備的對象，到乾隆朝已不具任何武力的威脅，</w:t>
      </w:r>
    </w:p>
    <w:p w14:paraId="400F407D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29D062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32BF253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事實上清廷與熟番的接觸，最富經驗且次數頻繁的，反倒不是被徵調作戰；而是跟隨官員出巡，聽調兵役差遣、保護軍工匠、維修土牛溝、傳遞公文、守隘、瞭望等一些勞力性質的工作。熟番長期受役使的結果，使得他們變得習於聽命。無怪乎林爽文在竪旗之初，能有計劃的聯絡生番，惟獨對這群熟番沒辦法。</w:t>
      </w:r>
    </w:p>
    <w:p w14:paraId="77FC593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6F808A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71790A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欽差大臣福康安來台後也看到這點，於是在林案結束後建議仿照四川練制度，從熟番中抽取可以整編的武力組成番屯。</w:t>
      </w:r>
    </w:p>
    <w:p w14:paraId="603D4434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96E7B5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E7ED3DC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基本上清廷對熟番的治理是成功的，雍正朝以後已沒有熟番反叛可以證明。整個清代官（熟）番的關係，都在調的架構下進行。番社本身就是一個武力團體，但清廷透過平時的使，讓眾番們已於聽命。所以各社即便是武力再強，終歸還是要受官方所用。</w:t>
      </w:r>
    </w:p>
    <w:p w14:paraId="32926030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480CCEE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42A8D7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乾隆五十三年（1788）番屯的成立，是官方收編熟番武力重要的里程碑。有別於徵調，它顯示出官番合作的第二種選擇</w:t>
      </w:r>
    </w:p>
    <w:p w14:paraId="34542CE7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C4B69DE" w14:textId="77777777" w:rsidR="004224C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293C39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</w:p>
    <w:p w14:paraId="0CF810A1" w14:textId="77777777" w:rsidR="004224CD" w:rsidRPr="00CA17FD" w:rsidRDefault="004224CD" w:rsidP="004224C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A2B3A0" w14:textId="77777777" w:rsidR="004224CD" w:rsidRPr="0056317D" w:rsidRDefault="004224CD" w:rsidP="004224CD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3D1D160" w14:textId="77777777" w:rsidR="004224CD" w:rsidRPr="0056317D" w:rsidRDefault="004224CD" w:rsidP="004224CD">
      <w:pPr>
        <w:spacing w:after="0" w:line="240" w:lineRule="auto"/>
        <w:rPr>
          <w:rFonts w:ascii="PMingLiU" w:eastAsia="PMingLiU" w:hAnsi="PMingLiU"/>
        </w:rPr>
      </w:pPr>
    </w:p>
    <w:p w14:paraId="135A17F6" w14:textId="77777777" w:rsidR="004224CD" w:rsidRPr="0056317D" w:rsidRDefault="004224CD" w:rsidP="004224CD">
      <w:pPr>
        <w:spacing w:after="0" w:line="240" w:lineRule="auto"/>
        <w:rPr>
          <w:rFonts w:ascii="PMingLiU" w:eastAsia="PMingLiU" w:hAnsi="PMingLiU"/>
        </w:rPr>
      </w:pPr>
      <w:r w:rsidRPr="0056317D">
        <w:rPr>
          <w:rFonts w:ascii="PMingLiU" w:eastAsia="PMingLiU" w:hAnsi="PMingLiU"/>
        </w:rPr>
        <w:tab/>
      </w:r>
      <w:r w:rsidRPr="0056317D">
        <w:rPr>
          <w:rFonts w:ascii="PMingLiU" w:eastAsia="PMingLiU" w:hAnsi="PMingLiU"/>
        </w:rPr>
        <w:tab/>
      </w:r>
    </w:p>
    <w:p w14:paraId="0255E1CE" w14:textId="77777777" w:rsidR="004224CD" w:rsidRPr="0056317D" w:rsidRDefault="004224CD" w:rsidP="004224CD">
      <w:pPr>
        <w:spacing w:after="0" w:line="240" w:lineRule="auto"/>
        <w:rPr>
          <w:rFonts w:ascii="PMingLiU" w:eastAsia="PMingLiU" w:hAnsi="PMingLiU"/>
        </w:rPr>
      </w:pPr>
    </w:p>
    <w:p w14:paraId="29F548D9" w14:textId="77777777" w:rsidR="00956EE8" w:rsidRPr="004224CD" w:rsidRDefault="00956EE8" w:rsidP="004224CD"/>
    <w:sectPr w:rsidR="00956EE8" w:rsidRPr="004224CD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4E"/>
    <w:rsid w:val="0006504E"/>
    <w:rsid w:val="000A3F8D"/>
    <w:rsid w:val="000D1AD9"/>
    <w:rsid w:val="00161EE5"/>
    <w:rsid w:val="001E4FBD"/>
    <w:rsid w:val="00225D46"/>
    <w:rsid w:val="00247536"/>
    <w:rsid w:val="00343BC2"/>
    <w:rsid w:val="004224CD"/>
    <w:rsid w:val="004D16CC"/>
    <w:rsid w:val="004E2153"/>
    <w:rsid w:val="0056317D"/>
    <w:rsid w:val="00683B22"/>
    <w:rsid w:val="00806637"/>
    <w:rsid w:val="00956EE8"/>
    <w:rsid w:val="009A538C"/>
    <w:rsid w:val="00A71318"/>
    <w:rsid w:val="00B3721F"/>
    <w:rsid w:val="00B51D8D"/>
    <w:rsid w:val="00B56244"/>
    <w:rsid w:val="00B83FDB"/>
    <w:rsid w:val="00BA3D35"/>
    <w:rsid w:val="00BC05B2"/>
    <w:rsid w:val="00C74598"/>
    <w:rsid w:val="00D6529A"/>
    <w:rsid w:val="00D976DF"/>
    <w:rsid w:val="00DE33B0"/>
    <w:rsid w:val="00DF0E56"/>
    <w:rsid w:val="00DF3611"/>
    <w:rsid w:val="00E37EB2"/>
    <w:rsid w:val="00EA32A1"/>
    <w:rsid w:val="00F04FC5"/>
    <w:rsid w:val="00F7450A"/>
    <w:rsid w:val="00FD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EA864"/>
  <w15:chartTrackingRefBased/>
  <w15:docId w15:val="{A3A0765A-0AF0-9046-9DE4-E7ECE735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CD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3611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361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F361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F3611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3611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F361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F361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F361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F361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F361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F361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11</TotalTime>
  <Pages>10</Pages>
  <Words>1683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22</cp:revision>
  <dcterms:created xsi:type="dcterms:W3CDTF">2026-02-13T06:27:00Z</dcterms:created>
  <dcterms:modified xsi:type="dcterms:W3CDTF">2026-02-13T07:24:00Z</dcterms:modified>
</cp:coreProperties>
</file>