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8967481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HK" w:eastAsia="zh-TW"/>
          <w14:ligatures w14:val="standardContextual"/>
        </w:rPr>
      </w:sdtEndPr>
      <w:sdtContent>
        <w:p w14:paraId="13D800B2" w14:textId="59EE13E9" w:rsidR="00E9218C" w:rsidRDefault="00E9218C">
          <w:pPr>
            <w:pStyle w:val="TOCHeading"/>
          </w:pPr>
          <w:r>
            <w:t>Table of Contents</w:t>
          </w:r>
        </w:p>
        <w:p w14:paraId="430D0395" w14:textId="342C037D" w:rsidR="00E9218C" w:rsidRDefault="00E9218C">
          <w:pPr>
            <w:pStyle w:val="TOC1"/>
            <w:tabs>
              <w:tab w:val="right" w:leader="dot" w:pos="111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884668" w:history="1">
            <w:r w:rsidRPr="00C756E0">
              <w:rPr>
                <w:rStyle w:val="Hyperlink"/>
                <w:noProof/>
              </w:rPr>
              <w:t xml:space="preserve">1. </w:t>
            </w:r>
            <w:r w:rsidRPr="00C756E0">
              <w:rPr>
                <w:rStyle w:val="Hyperlink"/>
                <w:rFonts w:hint="eastAsia"/>
                <w:noProof/>
              </w:rPr>
              <w:t>內容大要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F5659" w14:textId="53A190E4" w:rsidR="00E9218C" w:rsidRDefault="00E9218C">
          <w:pPr>
            <w:pStyle w:val="TOC1"/>
            <w:tabs>
              <w:tab w:val="right" w:leader="dot" w:pos="11170"/>
            </w:tabs>
            <w:rPr>
              <w:noProof/>
            </w:rPr>
          </w:pPr>
          <w:hyperlink w:anchor="_Toc221884669" w:history="1">
            <w:r w:rsidRPr="00C756E0">
              <w:rPr>
                <w:rStyle w:val="Hyperlink"/>
                <w:noProof/>
              </w:rPr>
              <w:t xml:space="preserve">2. </w:t>
            </w:r>
            <w:r w:rsidRPr="00C756E0">
              <w:rPr>
                <w:rStyle w:val="Hyperlink"/>
                <w:rFonts w:hint="eastAsia"/>
                <w:noProof/>
              </w:rPr>
              <w:t>結論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5A25" w14:textId="7840684C" w:rsidR="00E9218C" w:rsidRDefault="00E9218C">
          <w:r>
            <w:rPr>
              <w:b/>
              <w:bCs/>
              <w:noProof/>
            </w:rPr>
            <w:fldChar w:fldCharType="end"/>
          </w:r>
        </w:p>
      </w:sdtContent>
    </w:sdt>
    <w:p w14:paraId="315A1E03" w14:textId="77777777" w:rsidR="00E9218C" w:rsidRDefault="00E9218C" w:rsidP="00E9218C">
      <w:pPr>
        <w:pStyle w:val="Heading1"/>
      </w:pPr>
      <w:r>
        <w:br/>
      </w:r>
    </w:p>
    <w:p w14:paraId="714364D0" w14:textId="693E1EEC" w:rsidR="009330FC" w:rsidRPr="00CA17FD" w:rsidRDefault="00E9218C" w:rsidP="00E9218C">
      <w:pPr>
        <w:pStyle w:val="Heading1"/>
      </w:pPr>
      <w:r>
        <w:br w:type="column"/>
      </w:r>
      <w:r w:rsidR="009330FC" w:rsidRPr="00CA17FD">
        <w:lastRenderedPageBreak/>
        <w:tab/>
      </w:r>
      <w:bookmarkStart w:id="0" w:name="_Toc221884668"/>
      <w:r w:rsidR="009330FC" w:rsidRPr="00CA17FD">
        <w:rPr>
          <w:rFonts w:hint="eastAsia"/>
        </w:rPr>
        <w:t>1. 內容大要</w:t>
      </w:r>
      <w:bookmarkEnd w:id="0"/>
    </w:p>
    <w:p w14:paraId="417F63F7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F2AE3DB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臺灣綠營的建置</w:t>
      </w:r>
    </w:p>
    <w:p w14:paraId="3B741C54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本文分上中下三篇，首先探討臺灣綠營的建置及其演變，將臺灣綠營的沿革，綠營中的將，防區的變化，汛地的裁倂，兵費的收支及綠旗兵應付臺地亂事的能力做一詳明的介紹，並指出臺灣綠營的衰敗及為了振衰起做所做的努力，最後並分析其沒落的主要因素。</w:t>
      </w:r>
    </w:p>
    <w:p w14:paraId="706F9F33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53B5BD2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13E372B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臺灣最高武官＝總兵官</w:t>
      </w:r>
    </w:p>
    <w:p w14:paraId="5AD74915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中篇則將重點放在臺灣最高武官——總兵官上。臺灣因遠在海外，且亂事頻仍，不得不授總兵大權，但又怕總兵據地坐大，故對總兵予層層的監視。</w:t>
      </w:r>
    </w:p>
    <w:p w14:paraId="101B8A04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B8A77B3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A1EC300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就種種證據顯示，臺灣鎮總兵在有潛治臺期實為全臺的權力中心。但是不明臺灣總兵官職權者，往往囿於文治政府以文馭武的偏見，認為臺灣總兵官在臺灣道的管轄下，甚至將臺灣總兵和臺灣府知府並列，以為二者同受臺灣道的轄制。</w:t>
      </w:r>
    </w:p>
    <w:p w14:paraId="692BC0F2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E95FDF9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B3D0F2C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爲了澄清這個錯誤的觀念，故特闢臺灣總兵官一篇，先討論臺灣總兵的特質及職責，以闡明有清治臺灣確是以武抑文。另由臺灣鎭道間勢力的消長，來探討臺灣文武官員間的關係。</w:t>
      </w:r>
    </w:p>
    <w:p w14:paraId="207C0365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09B0FA2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7B3A0CD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班兵制度</w:t>
      </w:r>
    </w:p>
    <w:p w14:paraId="712CC857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下篇以班兵制度為探討的主要對象，先論及班兵制度成立的背景、特色和原則，再討論班兵的配渡、換班等問題，最後論及班兵之餉卹及口糧；同時亦著重來臺班兵的不法事件，及綠營中的臺灣兵兩部分。</w:t>
      </w:r>
    </w:p>
    <w:p w14:paraId="5E0E92B6" w14:textId="77777777" w:rsidR="009330FC" w:rsidRPr="00CA17FD" w:rsidRDefault="009330FC" w:rsidP="009330F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01F398A" w14:textId="77777777" w:rsidR="009330FC" w:rsidRPr="00CA17FD" w:rsidRDefault="009330FC" w:rsidP="009330FC">
      <w:pPr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br w:type="page"/>
      </w:r>
    </w:p>
    <w:p w14:paraId="16D37460" w14:textId="3C768C37" w:rsidR="00E9218C" w:rsidRPr="004F78B0" w:rsidRDefault="00E9218C" w:rsidP="00E9218C">
      <w:pPr>
        <w:pStyle w:val="Heading1"/>
        <w:rPr>
          <w:rFonts w:hint="eastAsia"/>
        </w:rPr>
      </w:pPr>
      <w:bookmarkStart w:id="1" w:name="_Toc221883032"/>
      <w:r>
        <w:lastRenderedPageBreak/>
        <w:tab/>
      </w:r>
      <w:bookmarkStart w:id="2" w:name="_Toc221884669"/>
      <w:r>
        <w:rPr>
          <w:rFonts w:hint="eastAsia"/>
        </w:rPr>
        <w:t xml:space="preserve">2. </w:t>
      </w:r>
      <w:r w:rsidRPr="00CA17FD">
        <w:t>結論</w:t>
      </w:r>
      <w:bookmarkEnd w:id="1"/>
      <w:bookmarkEnd w:id="2"/>
    </w:p>
    <w:p w14:paraId="49244DC2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臺灣綠營的兩大主幹，一是將，一是日班兵。將中以臺灣總兵官為全臺軍事長官。</w:t>
      </w:r>
    </w:p>
    <w:p w14:paraId="10C7DEE0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EBDF138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37DBD3E0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 xml:space="preserve">1. </w:t>
      </w:r>
      <w:r w:rsidRPr="006175F7">
        <w:rPr>
          <w:rFonts w:ascii="PMingLiU" w:eastAsia="PMingLiU" w:hAnsi="PMingLiU" w:hint="eastAsia"/>
          <w:sz w:val="22"/>
          <w:szCs w:val="22"/>
        </w:rPr>
        <w:t>臺灣總兵</w:t>
      </w:r>
    </w:p>
    <w:p w14:paraId="075C0CBF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161C317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1. 任用</w:t>
      </w:r>
    </w:p>
    <w:p w14:paraId="4E86430A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臺灣總兵是水師總兵，其人員的選取本由會推保舉，後因流弊孳生，乃改由具題請旨，或由閩浙總督具題，由皇帝圈選；或由閩浙督撫挑取後經皇帝同意任命。其所以如此，乃要確保臺灣總兵的品質。</w:t>
      </w:r>
    </w:p>
    <w:p w14:paraId="0FC6AFE0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455E4AA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7E3221C0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 xml:space="preserve">2. </w:t>
      </w:r>
      <w:r w:rsidRPr="006175F7">
        <w:rPr>
          <w:rFonts w:ascii="PMingLiU" w:eastAsia="PMingLiU" w:hAnsi="PMingLiU" w:hint="eastAsia"/>
          <w:sz w:val="22"/>
          <w:szCs w:val="22"/>
        </w:rPr>
        <w:t>掛印</w:t>
      </w:r>
    </w:p>
    <w:p w14:paraId="6445B457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雍正十一年（1733）以前臺灣總兵是不掛印的，後因是年大甲西社番及南路吳福生起事，為因應需要，才沿山、陝之例掛印。掛印後的總兵除了平常的巡閱、校拔營伍屯等權外，於民、刑事亦有審判權，又可以調遣軍隊，遇地方有事還可以不經督撫而上奏。</w:t>
      </w:r>
    </w:p>
    <w:p w14:paraId="61245588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9F219C6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7D392D3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>3. 三年、</w:t>
      </w:r>
      <w:r w:rsidRPr="000362E9">
        <w:rPr>
          <w:rFonts w:ascii="PMingLiU" w:eastAsia="PMingLiU" w:hAnsi="PMingLiU" w:cs="Times New Roman" w:hint="eastAsia"/>
          <w:sz w:val="22"/>
          <w:szCs w:val="22"/>
        </w:rPr>
        <w:t>五年一任</w:t>
      </w:r>
    </w:p>
    <w:p w14:paraId="3AB496F3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臺鎭因係邊俸，三年俸滿，但因清廷欲臺鎭久駐臺地以彈壓，乾隆四十七年（1782）＊後改為五年一任；又為了要配合臺灣道、臺灣府知府的任期，並訂三人不得同時報滿，以防三人俱係新任，無法立時掌握臺灣的情況，而致奸宄趁機而起之做。</w:t>
      </w:r>
    </w:p>
    <w:p w14:paraId="3D0FAA24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CFEF3F5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BE1BF6A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>4. 大多</w:t>
      </w:r>
      <w:r w:rsidRPr="000362E9">
        <w:rPr>
          <w:rFonts w:ascii="PMingLiU" w:eastAsia="PMingLiU" w:hAnsi="PMingLiU" w:cs="Times New Roman" w:hint="eastAsia"/>
          <w:sz w:val="22"/>
          <w:szCs w:val="22"/>
        </w:rPr>
        <w:t>福建籍</w:t>
      </w:r>
    </w:p>
    <w:p w14:paraId="1E79354E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任職臺灣總兵者，以福建籍為最多，其原因有：1清代外海水師總兵少，而任職水師總兵者，又以濱海的閩省籍多，故臺鎭多閩籍。2福建、臺灣同為閩浙總督的轄區，總督有題補、調補權，故常有調福建籍總兵來臺之事。除了福建籍的臺鎭外，旗人居次，共有九人，但其意義重大。</w:t>
      </w:r>
    </w:p>
    <w:p w14:paraId="2AFEA51D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61110B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7BB2BBF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臺灣第一任總兵楊文魁是漢軍旗人，他的到臺，象徵清廷勢力已進入臺灣。林爽文事件不定後，一直到道光中葉這一段時間，續有陳光愛、陳周全、蔡牽事件發生，而此時期任臺鎭者爲滿州旗人，因此旗人之任臺鎭，有彈壓臺地的意味在。</w:t>
      </w:r>
    </w:p>
    <w:p w14:paraId="428A347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B0BE9FC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31C5532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5. </w:t>
      </w:r>
      <w:r w:rsidRPr="006175F7">
        <w:rPr>
          <w:rFonts w:ascii="PMingLiU" w:eastAsia="PMingLiU" w:hAnsi="PMingLiU" w:cs="Times New Roman" w:hint="eastAsia"/>
          <w:sz w:val="22"/>
          <w:szCs w:val="22"/>
        </w:rPr>
        <w:t>監督</w:t>
      </w:r>
    </w:p>
    <w:p w14:paraId="10FD212E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9EE9629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1. </w:t>
      </w:r>
      <w:r w:rsidRPr="006175F7">
        <w:rPr>
          <w:rFonts w:ascii="PMingLiU" w:eastAsia="PMingLiU" w:hAnsi="PMingLiU" w:cs="Times New Roman" w:hint="eastAsia"/>
          <w:sz w:val="22"/>
          <w:szCs w:val="22"/>
        </w:rPr>
        <w:t>臺道</w:t>
      </w:r>
    </w:p>
    <w:p w14:paraId="3103826E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由於臺灣總兵位高權重，標兵獨多；臺灣又偏處海隅，怕總兵割據一方，故對臺灣總兵做層層的監督。先是由與臺灣鎮同城的臺灣道負責監督總兵的日常行事，隨著臺地吏治的混亂，軍隊的散漫，又使臺道監看營伍。</w:t>
      </w:r>
    </w:p>
    <w:p w14:paraId="6EAF8023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DD3B82C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E4D5AC2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2. </w:t>
      </w:r>
      <w:r w:rsidRPr="006175F7">
        <w:rPr>
          <w:rFonts w:ascii="PMingLiU" w:eastAsia="PMingLiU" w:hAnsi="PMingLiU" w:cs="Times New Roman" w:hint="eastAsia"/>
          <w:sz w:val="22"/>
          <w:szCs w:val="22"/>
        </w:rPr>
        <w:t>滿漢御史</w:t>
      </w:r>
    </w:p>
    <w:p w14:paraId="189F981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除了臺道的隨時監看以外，康熙六十一年（1722）林爽文事件平定後，清廷為加強控制臺灣，復派滿漢御史來臺巡閱。但御史因對臺地情況不熟悉，往往濫准詞訟，自作主張，事事侵鎭道之權；鎭道也因受御史掣肘，遇事多觀望，吏治、軍政反未能澄清。此外，御史巡閱南北兩路，所費過鉅，</w:t>
      </w:r>
    </w:p>
    <w:p w14:paraId="3D9AC5D5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5A4528B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BFF9A5A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故到乾隆十二年（1747）乃使御史分途巡閱，以節省經費。乾隆十七年（1752）御史改為三年一派，乾隆三十年（1765）停三年一派之例，唯有事可請派，乾隆四十六年（1781）以後就不再派遣，乾隆五十三年（1788）正式廢止御史巡臺之例。</w:t>
      </w:r>
    </w:p>
    <w:p w14:paraId="57D15246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44E30A2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6AC6B3B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3. </w:t>
      </w:r>
      <w:r w:rsidRPr="006175F7">
        <w:rPr>
          <w:rFonts w:ascii="PMingLiU" w:eastAsia="PMingLiU" w:hAnsi="PMingLiU" w:cs="Times New Roman" w:hint="eastAsia"/>
          <w:sz w:val="22"/>
          <w:szCs w:val="22"/>
        </w:rPr>
        <w:t>巡察</w:t>
      </w:r>
    </w:p>
    <w:p w14:paraId="6F9A68A2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lastRenderedPageBreak/>
        <w:t>為了彌補停派御史，並提高來臺人員的層次，於同年由高宗下令，由福州將軍、閩浙總督、福建巡撫、水師提督、陸路提督五人，每年輪派一人至臺巡察。上述五人既可轄制臺鎭，對臺地亦較御史瞭解，可發揮更積極的效用。</w:t>
      </w:r>
    </w:p>
    <w:p w14:paraId="11AD0385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56CB1C0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5EBE194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但自乾隆五十三年（1788）到嘉慶十一年（1806）間，因此時任職臺灣總兵者皆係皇帝信任的旗人，故巡閱的規定並沒有嚴格遵守。</w:t>
      </w:r>
    </w:p>
    <w:p w14:paraId="6539A18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EF6FC81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41C4BF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4. </w:t>
      </w:r>
      <w:r w:rsidRPr="006175F7">
        <w:rPr>
          <w:rFonts w:ascii="PMingLiU" w:eastAsia="PMingLiU" w:hAnsi="PMingLiU" w:cs="Times New Roman" w:hint="eastAsia"/>
          <w:sz w:val="22"/>
          <w:szCs w:val="22"/>
        </w:rPr>
        <w:t>軍政自陳</w:t>
      </w:r>
    </w:p>
    <w:p w14:paraId="3A258BCF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另一監督總兵的方式是乾隆中葉以前所採取的軍政自陳——每年總兵將其以往賞罰事蹟自行羅列，由皇帝裁決是否留任。實行後，又因總兵造僞，常做違心之論，乾隆中葉後乃行廢止，而交由各地總督對屬下總兵，每年加具語一次，每五年軍政考察一次，若不稱職，總督復有調補權，可以更動其職位。</w:t>
      </w:r>
    </w:p>
    <w:p w14:paraId="4D71556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FE6E62E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819334D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2. </w:t>
      </w:r>
      <w:r w:rsidRPr="000362E9">
        <w:rPr>
          <w:rFonts w:ascii="PMingLiU" w:eastAsia="PMingLiU" w:hAnsi="PMingLiU" w:cs="Times New Roman" w:hint="eastAsia"/>
          <w:sz w:val="22"/>
          <w:szCs w:val="22"/>
        </w:rPr>
        <w:t>班兵</w:t>
      </w:r>
    </w:p>
    <w:p w14:paraId="69D1DA7A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2B75B6E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>1. 標準</w:t>
      </w:r>
    </w:p>
    <w:p w14:paraId="3F3B4E06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除了總兵外，班兵是綠營中的另一大要素。班兵必須年在四十歲以下，有身家，嫺熟技藝，明白營中紀律，方可抽調來臺。</w:t>
      </w:r>
    </w:p>
    <w:p w14:paraId="612D0575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7374C12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F6E1DF7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>2. 福建綠營</w:t>
      </w:r>
      <w:r w:rsidRPr="000362E9">
        <w:rPr>
          <w:rFonts w:ascii="PMingLiU" w:eastAsia="PMingLiU" w:hAnsi="PMingLiU" w:cs="Times New Roman" w:hint="eastAsia"/>
          <w:sz w:val="22"/>
          <w:szCs w:val="22"/>
        </w:rPr>
        <w:t>抽調來臺</w:t>
      </w:r>
      <w:r>
        <w:rPr>
          <w:rFonts w:ascii="PMingLiU" w:eastAsia="PMingLiU" w:hAnsi="PMingLiU" w:cs="Times New Roman" w:hint="eastAsia"/>
          <w:sz w:val="22"/>
          <w:szCs w:val="22"/>
        </w:rPr>
        <w:t>，</w:t>
      </w:r>
      <w:r w:rsidRPr="000362E9">
        <w:rPr>
          <w:rFonts w:ascii="PMingLiU" w:eastAsia="PMingLiU" w:hAnsi="PMingLiU" w:cs="Times New Roman" w:hint="eastAsia"/>
          <w:sz w:val="22"/>
          <w:szCs w:val="22"/>
        </w:rPr>
        <w:t>零散分營</w:t>
      </w:r>
    </w:p>
    <w:p w14:paraId="7E8054E2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為了避免冒名頂替，或班滿已渡內地，復又被挑至臺灣，故水師、陸路營兵，在其出營前，登舟前，來臺後，收營前，都需造具清册，由水師、陸路提督互相點驗，確實無訛，方可由廈門、蚶江、五虎門三口配渡至臺灣的鹿耳門、鹿港、八里坌。到臺後，由臺弁（卽千總、把總）等，分別帶歸營官操練、管束。</w:t>
      </w:r>
    </w:p>
    <w:p w14:paraId="1C455F3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C634150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6CD5C9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班兵既是由福建各營分別抽調來臺，來臺後又需零散分營，致使臺地每營兵丁常有調自內地十數營之事。兵之營別不同，言語不通，兵不習，不僅造成操練的困難，也造成漳泉兵比例占一半的情形。</w:t>
      </w:r>
    </w:p>
    <w:p w14:paraId="3F663ECF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0847453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46F67ED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漳泉人在內地卽已各分氣類，彼此相鬥。到臺後，復與臺地的漳、泉同鄉彼此結合，甚至加入械的行列，</w:t>
      </w:r>
    </w:p>
    <w:p w14:paraId="40F2A56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7C0EE2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F7D7122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故在福康安處理林爽文事件的善後事宜時，針對上述的弊病加以改善：其一，·減少調派的營數，增加每營抽調的班兵數；其二，將漳泉兵的比例做妥善的安排，使漳泉互相牽制而不致生事。</w:t>
      </w:r>
    </w:p>
    <w:p w14:paraId="0A6A282E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59425BC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F78598A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3. </w:t>
      </w:r>
      <w:r w:rsidRPr="008D2592">
        <w:rPr>
          <w:rFonts w:ascii="PMingLiU" w:eastAsia="PMingLiU" w:hAnsi="PMingLiU" w:cs="Times New Roman" w:hint="eastAsia"/>
          <w:sz w:val="22"/>
          <w:szCs w:val="22"/>
        </w:rPr>
        <w:t>三年一換</w:t>
      </w:r>
    </w:p>
    <w:p w14:paraId="070FDE7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班兵既是三年一換，但因船不敷分配，且須視氣候而發舟，故需分起調換。大抵分成四起，一年換三起稱大換班，翌年換一起，稱小換班，第三年休息，是為三年一換。換班雖會規定出收營的期限，但常因氣候及人為因素，換班脫期；常是一起班兵尙未回閩，二起班兵早已屆時，需由閩赴臺，造成福建防空虛。為救此弊，乃規定前起回營，後起方可出營。</w:t>
      </w:r>
    </w:p>
    <w:p w14:paraId="06D68B8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FB42730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D505884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4. </w:t>
      </w:r>
      <w:r w:rsidRPr="008D2592">
        <w:rPr>
          <w:rFonts w:ascii="PMingLiU" w:eastAsia="PMingLiU" w:hAnsi="PMingLiU" w:cs="Times New Roman" w:hint="eastAsia"/>
          <w:sz w:val="22"/>
          <w:szCs w:val="22"/>
        </w:rPr>
        <w:t>俸餉</w:t>
      </w:r>
    </w:p>
    <w:p w14:paraId="3E60B85D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但班兵的俸餉在班滿日卽已住支，為免兵丁枵腹，嘉慶以後給兵丁半餉，回閩後卽住支。除了牛餉、正餉外，清廷對來臺班兵也盡力照應，如：1加餉：乾隆五十三年（1788）因林爽文案而入官的叛產，每年可得租金五萬五千兩，高宗將這筆收入加給班兵，每月各班兵可多得四錢。2生息銀：生息銀乃由藩司撥交一定數目之銀，發商生息，以息銀做為班兵賞恤之用。臺地的生息，按規定每兵每月給二兩。以臺灣鎭標三營為例，乾隆初年共有二千七百七十名，共頜銀五千五百四十兩。臺鎮將此銀購買荷包嶼、桂子等魚塭，再贌給臺民，以其生息做為班兵賞之用。3眷銀、眷糧：世宗賞給班兵每名每月可得眷糧一斗；又賞給兵每年四萬兩，按兵數多寡匀給，平均每月每兵可得眷銀二錢八分。1盤費：由原營赴臺，因距臺遠近不同，故賞給的盤費也有一兩、一兩五錢、二兩之別，若不敷使用，尙可向營官借支，稱為借餉。以守兵為例，每月除一兩的正餉外，可得加餉四錢，餉二錢八分，雖比內地營兵稍多，但臺灣</w:t>
      </w:r>
      <w:r w:rsidRPr="00CA17FD">
        <w:rPr>
          <w:rFonts w:ascii="PMingLiU" w:eastAsia="PMingLiU" w:hAnsi="PMingLiU" w:cs="Times New Roman"/>
          <w:sz w:val="22"/>
          <w:szCs w:val="22"/>
        </w:rPr>
        <w:lastRenderedPageBreak/>
        <w:t>物價比內地高，故仍屬薄餉。且有時因公賠補，或營官尅扣兵餉，每使兵丁生活困窘。兵丁為維持己身和眷屬的生活，不得不出營謀生。此舉造成兩種嚴重的後果：1兵丁出營不預差操，營兵戰力自差。兵丁爲免營官責難，有免操銀，成爲營官違法的規費。而臺地一發生動亂，班兵無法平亂，轉向內地求援，虛糜軍費。2營兵出外謀生，難免因細故和當地居民發生衝突，甚或有欺壓百姓之事，兵丁武器在手，一遇糾紛，往往是一時之忿，造成無可彌補的錯誤；居民為圖報復，紛紛結社以抗營兵，造成社會的不安。除了經濟因素外，班兵因不准携眷，復常脫班，滯臺逾三年，造成心理、生理上的不平衡，故在臺包娼、包賭做出各種違法的行為，甚至和臺地奸民沆瀣一氣，造成臺灣治安的毒瘤。</w:t>
      </w:r>
    </w:p>
    <w:p w14:paraId="1F8D9DBB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6E8CF86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C6E112E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>5. 台人不許入伍</w:t>
      </w:r>
    </w:p>
    <w:p w14:paraId="2596192F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清廷雖以由福建各營抽調來臺的兵戍臺，不准臺民入綠營，但並不以之為不易之良法。道光年間，班兵素質低落，配渡費事費時，臺灣道世有募臺民以代班兵之議，其後於署閩浙總督時，會令臺灣鎮觀喜籌議廢除班兵制，惟因臺灣道姚瑩提出若以募臺民為兵以代班兵，則是「</w:t>
      </w:r>
      <w:r w:rsidRPr="00CA17FD">
        <w:rPr>
          <w:rFonts w:ascii="PMingLiU" w:eastAsia="BiauKaiHK Regular" w:hAnsi="PMingLiU" w:cs="Times New Roman"/>
          <w:sz w:val="22"/>
          <w:szCs w:val="22"/>
        </w:rPr>
        <w:t>以臺與臺人</w:t>
      </w:r>
      <w:r w:rsidRPr="00CA17FD">
        <w:rPr>
          <w:rFonts w:ascii="PMingLiU" w:eastAsia="PMingLiU" w:hAnsi="PMingLiU" w:cs="Times New Roman"/>
          <w:sz w:val="22"/>
          <w:szCs w:val="22"/>
        </w:rPr>
        <w:t>」，募兵議終不行。清廷雖不准臺民當兵，但因來臺成兵常有逃亡或死亡的現象，故臺民仍不乏當兵的機會，額兵缺出，將以臺民募補。到康末葉，臺民補額兵者日多。康熙五十二年（1713）乃嚴令額缺不准在臺募補，康熙六十年（1721）復令不准臺人頂補班兵；若班兵額缺，仍由原營派兵撥補。此一禁令並未徹底實行，如朱一貴、吳福生起事，都需利用臺民助，事，因功不能不予拔擢。雍正十一年（1733）臺民林尙隆因殺賊有功，被授為千總，臺民入伍當兵獲得正式憑據。乾隆三十三年（1768）黃敎起事，地方官請由內地調兵至臺助，高宗怒責之曰：「</w:t>
      </w:r>
      <w:r w:rsidRPr="00CA17FD">
        <w:rPr>
          <w:rFonts w:ascii="PMingLiU" w:eastAsia="BiauKaiHK Regular" w:hAnsi="PMingLiU" w:cs="Times New Roman"/>
          <w:sz w:val="22"/>
          <w:szCs w:val="22"/>
        </w:rPr>
        <w:t>帶兵原為賊，況兵丁皆臺灣土著，何至不識路徑，另待挑人！</w:t>
      </w:r>
      <w:r w:rsidRPr="00CA17FD">
        <w:rPr>
          <w:rFonts w:ascii="PMingLiU" w:eastAsia="PMingLiU" w:hAnsi="PMingLiU" w:cs="Times New Roman"/>
          <w:sz w:val="22"/>
          <w:szCs w:val="22"/>
        </w:rPr>
        <w:t>」可知臺民入軍籍者漸多。林爽文事件後，高宗欲減半數班兵，其中一半由臺民募補（臺民中有一半募補熟番），但福康安以臺民未經訓練，堅持仍用熟識技藝的內地營兵，高宗乃取消募兵之議。嘉慶中葉蔡牽起於海上，逐募臺民為水兵，但對入伍的限制仍多，如臺灣兵中只能拔補千把總五名，外委照缺陞補。道</w:t>
      </w:r>
    </w:p>
    <w:p w14:paraId="0A50E323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C267EFE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BE2C8D7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光四年（1824）更限制臺灣兵在臺營中的比例不得多過十分之一，十年（1830）再限定在二十分之一。但續接著中英戰事爆發，臺閩兩地同時戒嚴，內地班兵停止赴臺換班，臺營缺額未補者有一千名之多，只得錄用可用的臺勇入伍。是時臺灣兵已佔綠營的五分之一，並能和內地來的班兵分庭抗禮。但清廷利用臺民入營只為應付亂事，治事之後，則想種種辦法予以裁撤。同治年間，為了減少財政支出，下令全國在六個月內裁兵，臺灣也於同治八年（1869）裁兵加餉，臺灣兵被裁掉多少尙沒有資料可尋，但可以以下級武官的情況來做一說明。「</w:t>
      </w:r>
      <w:r w:rsidRPr="00CA17FD">
        <w:rPr>
          <w:rFonts w:ascii="PMingLiU" w:eastAsia="BiauKaiHK Regular" w:hAnsi="PMingLiU" w:cs="Times New Roman"/>
          <w:sz w:val="22"/>
          <w:szCs w:val="22"/>
        </w:rPr>
        <w:t>臺灣兵備手抄</w:t>
      </w:r>
      <w:r w:rsidRPr="00CA17FD">
        <w:rPr>
          <w:rFonts w:ascii="PMingLiU" w:eastAsia="PMingLiU" w:hAnsi="PMingLiU" w:cs="Times New Roman"/>
          <w:sz w:val="22"/>
          <w:szCs w:val="22"/>
        </w:rPr>
        <w:t>」登錄同治十年（1871）臺灣綠營額外外委以上的，其中只有北路中營額外外委李國春是臺灣籍，其比例不到二十分之一。同治十三年（1874）玻璃事件發生，廷臣李宗羲又請臺民為勇，沈葆楨也和臺灣鎮道商量，決定在出缺的額兵中，先儘臺地募補，以實用。實施不到一年，沈葆楨因招臺兵利弊參半，反而躊躇，以至未能續用臺灣兵。光緒五年（1879）日本占領琉球，臺灣防務再度告急。閩浙總督何璟亦欲於基隆募兵，使助臺防。此後勇營完全代替綠營，班兵淪為地方治安部隊，經一再裁撤，只剩兵四千五百名。臺民這時已成為爭相招募的土勇，在班兵中究竟占多少比例則不得而知。臺灣建省後，防務由勇營任之，綠旗兵或修防禦工事，或充郵局、電信局的站兵、跑兵，在軍事上不再有重要的地位。</w:t>
      </w:r>
    </w:p>
    <w:p w14:paraId="563FAF87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43DBC8F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F77B715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>6. 營制</w:t>
      </w:r>
    </w:p>
    <w:p w14:paraId="1EB76125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清廷收臺灣入版圖在三藩平定之後，時因兵餉繁重，全國一片裁兵之聲，故聖祖對是否收臺灣入版圖頗爲躊躇。施琅建議由福建各營額兵中抽調兵丁萬名到臺防戍，既可守臺，且使「</w:t>
      </w:r>
      <w:r w:rsidRPr="00CA17FD">
        <w:rPr>
          <w:rFonts w:ascii="PMingLiU" w:eastAsia="BiauKaiHK Regular" w:hAnsi="PMingLiU" w:cs="Times New Roman"/>
          <w:sz w:val="22"/>
          <w:szCs w:val="22"/>
        </w:rPr>
        <w:t>兵無廣額，餉無加增</w:t>
      </w:r>
      <w:r w:rsidRPr="00CA17FD">
        <w:rPr>
          <w:rFonts w:ascii="PMingLiU" w:eastAsia="PMingLiU" w:hAnsi="PMingLiU" w:cs="Times New Roman"/>
          <w:sz w:val="22"/>
          <w:szCs w:val="22"/>
        </w:rPr>
        <w:t>」，獲得聖祖採納。最初臺灣綠營分成十營，卽臺灣鎭標中左右三營，臺灣水師協中左右三營、澎湖水師協左右兩營、南路營、北路營、水師、陸路營各半，其戍守範圍，略小於明鄭的防禦圈。水及半線（彰化）。由清初的防戍，可見清廷之守臺較具消極性，充分顯示其「</w:t>
      </w:r>
      <w:r w:rsidRPr="00CA17FD">
        <w:rPr>
          <w:rFonts w:ascii="PMingLiU" w:eastAsia="BiauKaiHK Regular" w:hAnsi="PMingLiU" w:cs="Times New Roman"/>
          <w:sz w:val="22"/>
          <w:szCs w:val="22"/>
        </w:rPr>
        <w:t>為防臺而守臺</w:t>
      </w:r>
      <w:r w:rsidRPr="00CA17FD">
        <w:rPr>
          <w:rFonts w:ascii="PMingLiU" w:eastAsia="PMingLiU" w:hAnsi="PMingLiU" w:cs="Times New Roman"/>
          <w:sz w:val="22"/>
          <w:szCs w:val="22"/>
        </w:rPr>
        <w:t>」的特質。</w:t>
      </w:r>
    </w:p>
    <w:p w14:paraId="7C168AF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7DE7E0D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D967B7B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隨著臺灣各地的逐漸開發，不但兵數增加，地也加廣，到道光年間，臺灣已有十八營，除了後山外，都有綠營的汛塘。</w:t>
      </w:r>
    </w:p>
    <w:p w14:paraId="110C17D2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7FA899D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17E19F7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這十八營中，除上述十營外，還有雍正十一年設城守營左右軍、艋舺、滬尾水師營，乾隆三十二年設置的下淡水營，及嘉慶十八年（1813）設的噶瑪蘭營，而上述十營中，北路左營也於道光十三年（1833）改稱嘉義營。同治八年（1868），在左宗棠主持下的裁兵加餉，除裁臺灣營兵四成外，也恢復康熙六十一年（1722）撤銷的道標營，由鎭標左營之。光緒五年（1879），將鎭標營置於甫經設縣的恒春營。</w:t>
      </w:r>
    </w:p>
    <w:p w14:paraId="5DB6C89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83AE522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6753434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光緒十一年（1885）臺灣建省，臺灣的營制有很大的改變，其一是澎湖設總兵，稱福建臺灣澎湖鎮總兵，由閩浙總督、福建臺灣巡撫、福建水師提督節制之。其二，將臺灣水師協三營改駐臺東，安平三營後因撫標未能接防故無法調往，故防成交由勇營防成。此外，福建臺灣巡撫劉銘傳有意將形同虛設的水師營（安平三營、滬尾營、噶瑪蘭營）均改為陸路，但並未獲准，此為臺灣營制變遷的情況。清代綠營掌於兵部，集權中央，但中央離地方遠，不可能對各地予以個別監督，故乃又分寄出部分軍權給地方督、撫、提、鎮，使負管轄兵丁的重責大任，朝廷依其對營伍的貢獻給予獎懲。集權和分寄這兩個原則的交互運用，使綠營在清代初期乾隆末年維持良好的軍力。但因承平日久，綠營逐漸衰敗，終不能不以勇營來替代。</w:t>
      </w:r>
    </w:p>
    <w:p w14:paraId="2960631E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1C74086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4035197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/>
          <w:sz w:val="22"/>
          <w:szCs w:val="22"/>
        </w:rPr>
        <w:tab/>
      </w:r>
      <w:r>
        <w:rPr>
          <w:rFonts w:ascii="PMingLiU" w:eastAsia="PMingLiU" w:hAnsi="PMingLiU" w:cs="Times New Roman" w:hint="eastAsia"/>
          <w:sz w:val="22"/>
          <w:szCs w:val="22"/>
        </w:rPr>
        <w:t xml:space="preserve">7. </w:t>
      </w:r>
      <w:r w:rsidRPr="00C241D2">
        <w:rPr>
          <w:rFonts w:ascii="PMingLiU" w:eastAsia="PMingLiU" w:hAnsi="PMingLiU" w:cs="Times New Roman" w:hint="eastAsia"/>
          <w:sz w:val="22"/>
          <w:szCs w:val="22"/>
        </w:rPr>
        <w:t>綠營的衰敗</w:t>
      </w:r>
    </w:p>
    <w:p w14:paraId="0E5DB98B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綠營的衰敗，有因制度上的缺陷，有因制度的執行不力，以下由三方面來探討。（－）汛塘的分散汛、塘分散，雖對各地捕務不無幫助，但從另一個角度來看，兵力分散亦犯了兵家的大忌；與其零散而多置兵力，不如擇要而置重兵。兵在綠營中的數目，占綠營的三分之一。汛兵主要的責任是防汛當差，除非有差遣，不得隨意離開汛地，更不准隨便調動，並只在汛地接受訓練；每遇戰事，需就地防守，不得應征。汛塘兵少，一遇戰事，營兵或標兵赴援時常不能及時，故零星塘，乃成為賊寇攻擊的對象。另方面，汛塘兵既占三分之一，臺鎭所能動用的武力十分有限；且在亂事擴大後，又怕蔓延全臺，不敢調動防臺灣各地的軍隊，倉皇之間，惟有向內地求援。因此汛塘的分散，兵戰力的薄弱，是綠營的一大致命傷。</w:t>
      </w:r>
    </w:p>
    <w:p w14:paraId="3CA3B900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FFD14FB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B1AD52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（）考核的鬆散閩省大員及總兵的巡閱，這一年一度（或二年一度的巡閱，非但未能確實考核，整飭營務，反而產生許多弊病，如民趁總兵往南北路巡視不在府城之際起而作亂，故督撫來臺巡閱，並未能發揮積極整飭臺灣營伍的效果等。</w:t>
      </w:r>
    </w:p>
    <w:p w14:paraId="2F70D9B8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75D2E6E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CCAE97B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（三）班兵制度的缺點臺灣非由土著防，兵由福建各營抽調而來，來臺後再結合成營。由於地形不熟，戰力多少受到影響。尤其班兵三年一換，每遇風潮不順更羈延時日，亦有兵已換回，而內地兵未到，嚴重影響各地戍防。更有甚者，兵丁三年一換，每三年就有一批生手，生手熟習駐地地形，又被調回內地，青黃不接時，治安堪虞。戰時班兵暫停換班，又造成兵丁在臺過久的現象。</w:t>
      </w:r>
    </w:p>
    <w:p w14:paraId="3F6C0460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DF0B7E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</w:p>
    <w:p w14:paraId="06CC21BE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清代臺灣的統治權交付給臺灣鎭和臺灣道，但是鎭道對屬下百官有監督權而沒有補權；且因有逕奏權，無形中冒犯督撫的尊嚴，因此事事受隔海的總督、巡撫牽制，造成不必要的困擾。督撫也因不瞭解臺地的情形，常聽信在臺不得鎭道所喜者的語，使鎭道不能安於位。鎭道之間，也因鎮的職權時有侵犯臺道之處，兩者之間不和，互相掣肘，形成治安上的困擾。光緒二年（1876）清廷合福建巡撫冬春駐臺，以明臺事之秋毫，旋因閩撫職責多，無法定期來臺。閩撫不駐臺，使文武官員之間的不和愈演愈烈，此時文武之間的不和因紐合湘、淮、粵三派系間的明争暗鬪而更形嚴重，對臺灣的吏治軍政都造成無可彌補的損失，由臺鎭吳光亮（粵籍）、臺道劉璈湘籍）之爭，以及劉與劉銘傳（淮籍）之可以得知上述現象。中法戰爭後，清於光緒十一年九月五日設臺灣巡撫，文武官員皆為臺撫所轄，臺鎭、臺道職權減少，不再做無意義的爭執，臺灣的近代化建設乃得以逐步展開。</w:t>
      </w:r>
    </w:p>
    <w:p w14:paraId="60371D0F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D62BAA4" w14:textId="77777777" w:rsidR="00E9218C" w:rsidRDefault="00E9218C" w:rsidP="00E9218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F9EF887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hint="eastAsia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 w:hint="eastAsia"/>
          <w:sz w:val="22"/>
          <w:szCs w:val="22"/>
        </w:rPr>
        <w:t>8，對比</w:t>
      </w:r>
      <w:r w:rsidRPr="006600E0">
        <w:rPr>
          <w:rFonts w:ascii="PMingLiU" w:eastAsia="PMingLiU" w:hAnsi="PMingLiU" w:hint="eastAsia"/>
          <w:sz w:val="22"/>
          <w:szCs w:val="22"/>
        </w:rPr>
        <w:t>內地綠營</w:t>
      </w:r>
    </w:p>
    <w:p w14:paraId="60B10970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綜本文所論，以臺灣的綠營和內地相比，其特色為：一、清制以正四品的道和正二品的鎭，爲地方最高的文武官。由於受重武輕文傳統習慣所囿，總兵的品級雖較道員為尊，但在公務上，則不能侵道員之權，即低級地方官亦不聽其意旨。臺灣則反之，因總兵掛印可理民事，有王命旗牌可以決囚：道因無道標，雖奉命監看總兵，但並不為意，至鎭侵權。換言之，內地的統治型態是以文抑武，在臺地則以武抑文。</w:t>
      </w:r>
    </w:p>
    <w:p w14:paraId="02C408F3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597FE0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2F97C1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二、在臺將的挑取，原本有預保，後來雖取銷，然各將的任期與內地相比，仍為任期較短而陞遷較速。</w:t>
      </w:r>
    </w:p>
    <w:p w14:paraId="581B0AA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07553C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01BFDB1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三、綠營制的一個原則是兵皆土著，臺灣的綠營兵，則由閩省各營抽調而來，但也在限制下容納臺灣兵。如對兵的補、陞遷，都加以種種限制以控制臺灣兵在臺灣營制中的人數。</w:t>
      </w:r>
    </w:p>
    <w:p w14:paraId="5CE04791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3265E78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202DE70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四、臺灣班兵出征，均給行糧、口糧。若按戶兵工部則例規定，必需出征地在三百里外，才得享受如此待遇。朝廷以臺地險要，有瘴癘之氣，特恩恤之。</w:t>
      </w:r>
    </w:p>
    <w:p w14:paraId="131C350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C2BD657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8CA9E4B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五、遊擊、都司以下，係兵部銓選者（卽月選官），均不得任用於本省內，臺灣不受此限制，福建省的選官，可以來臺任職。</w:t>
      </w:r>
    </w:p>
    <w:p w14:paraId="1027A985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C9F19F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EB44A4F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六、臺灣鎮中軍是遊擊，因臺灣初設營制時沒有都司。乾隆十八年全國各中軍一律改為都司之際，臺灣因係海外重地，且已設有都司，仍以游擊為中軍。</w:t>
      </w:r>
    </w:p>
    <w:p w14:paraId="4593A545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C382979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19BE5E5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七、巡哨洋面時，因臺鎭責重，總兵無法外出，而由水師副將代替，並一年只有三次。</w:t>
      </w:r>
    </w:p>
    <w:p w14:paraId="74CF3AF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D16C99C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E414D72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八、內地汛塘兵占總戍兵數的三分之一，而臺灣在同治八年裁兵加餉以前，汛期兵占三分之二，大大影響了軍力，裁兵加餉後，分汛兵占總成兵的三分之一，比較符合汛塘兵占總兵額數的規定。</w:t>
      </w:r>
    </w:p>
    <w:p w14:paraId="2A44FE35" w14:textId="77777777" w:rsidR="00E9218C" w:rsidRPr="00CA17FD" w:rsidRDefault="00E9218C" w:rsidP="00E9218C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3D91165" w14:textId="77777777" w:rsidR="00E9218C" w:rsidRPr="00CA17FD" w:rsidRDefault="00E9218C" w:rsidP="00E9218C">
      <w:pPr>
        <w:spacing w:after="0" w:line="240" w:lineRule="auto"/>
        <w:rPr>
          <w:rFonts w:ascii="PMingLiU" w:eastAsia="PMingLiU" w:hAnsi="PMingLiU" w:hint="eastAsia"/>
          <w:sz w:val="22"/>
          <w:szCs w:val="22"/>
          <w:lang w:val="en-US"/>
        </w:rPr>
      </w:pPr>
    </w:p>
    <w:p w14:paraId="297D16E0" w14:textId="77777777" w:rsidR="00E9218C" w:rsidRPr="000D1AD9" w:rsidRDefault="00E9218C" w:rsidP="00E9218C">
      <w:pPr>
        <w:pStyle w:val="Heading6"/>
      </w:pPr>
    </w:p>
    <w:p w14:paraId="368F5F6B" w14:textId="07B43436" w:rsidR="00DE33B0" w:rsidRPr="000D1AD9" w:rsidRDefault="00E9218C" w:rsidP="00B51D8D">
      <w:pPr>
        <w:pStyle w:val="Heading6"/>
        <w:rPr>
          <w:rFonts w:hint="eastAsia"/>
        </w:rPr>
      </w:pPr>
      <w:r>
        <w:rPr>
          <w:rFonts w:hint="eastAsia"/>
        </w:rPr>
        <w:t>2</w:t>
      </w:r>
    </w:p>
    <w:sectPr w:rsidR="00DE33B0" w:rsidRPr="000D1AD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9D"/>
    <w:rsid w:val="000D1AD9"/>
    <w:rsid w:val="001E4FBD"/>
    <w:rsid w:val="00247536"/>
    <w:rsid w:val="0033239D"/>
    <w:rsid w:val="004D16CC"/>
    <w:rsid w:val="004E2153"/>
    <w:rsid w:val="009330FC"/>
    <w:rsid w:val="00B51D8D"/>
    <w:rsid w:val="00B56244"/>
    <w:rsid w:val="00B83FDB"/>
    <w:rsid w:val="00DE33B0"/>
    <w:rsid w:val="00DF0E56"/>
    <w:rsid w:val="00E37EB2"/>
    <w:rsid w:val="00E9218C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0C142"/>
  <w15:chartTrackingRefBased/>
  <w15:docId w15:val="{1539EAAC-E115-B742-AAA6-259414B6F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0FC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9218C"/>
    <w:pPr>
      <w:spacing w:before="48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218C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E9218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9218C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9218C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218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218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218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218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218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218C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</TotalTime>
  <Pages>7</Pages>
  <Words>1256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3</cp:revision>
  <dcterms:created xsi:type="dcterms:W3CDTF">2026-02-13T06:16:00Z</dcterms:created>
  <dcterms:modified xsi:type="dcterms:W3CDTF">2026-02-13T06:17:00Z</dcterms:modified>
</cp:coreProperties>
</file>