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5EB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清代台灣海防</w:t>
      </w:r>
    </w:p>
    <w:p w14:paraId="086B7A7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E469F0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釋意</w:t>
      </w:r>
    </w:p>
    <w:p w14:paraId="164F5098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在題目的解釋上，「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清代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」起於康熙二十三年（1684）班兵在台灣布防，終至光緒二十一年（1895）割讓給日本為止。</w:t>
      </w:r>
    </w:p>
    <w:p w14:paraId="7BD39F8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09BBC6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196DA3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台灣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」除了指本島外，亦包括澎湖、小琉球、紅頭嶼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蘭嶼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、火燒嶼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綠島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、龟嶼</w:t>
      </w:r>
      <w:r w:rsidRPr="00CA17FD">
        <w:rPr>
          <w:rFonts w:ascii="PMingLiU" w:eastAsia="PMingLiU" w:hAnsi="PMingLiU" w:cs="Times New Roman"/>
          <w:sz w:val="22"/>
          <w:szCs w:val="22"/>
        </w:rPr>
        <w:t>（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龟山島</w:t>
      </w:r>
      <w:r w:rsidRPr="00CA17FD">
        <w:rPr>
          <w:rFonts w:ascii="PMingLiU" w:eastAsia="PMingLiU" w:hAnsi="PMingLiU" w:cs="Times New Roman"/>
          <w:sz w:val="22"/>
          <w:szCs w:val="22"/>
        </w:rPr>
        <w:t>）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等附屬島嶼。</w:t>
      </w:r>
    </w:p>
    <w:p w14:paraId="433F1972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66C0142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1D167D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海防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」則要考慮到時代的演變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以及防禦對象的不同而賦予新義。若按《清史稿》的解釋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海防在清初僅止於備盜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但自道光以後由於海禁大開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形勢才有變化。</w:t>
      </w:r>
    </w:p>
    <w:p w14:paraId="098A91B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40583E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2A328D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特點</w:t>
      </w:r>
    </w:p>
    <w:p w14:paraId="4863733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康熙二十二年（1683）清廷統一台灣後，基本上已具備控制台灣海峽的條件。然而到了19世紀中葉，這種局面又被叩關的英國人所打破，此後台灣海峽再度成為各方勢力角逐的焦點。台灣海防在前後階段所扮演的角色，正是本書所要探討的主題。</w:t>
      </w:r>
    </w:p>
    <w:p w14:paraId="2A48B38B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421CB7C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2C451A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清代台灣地方志中的記載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提供了不少訊息。歸納其含意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大抵台灣的海防在嘉慶朝以前，僅是水、陸汛塘部署的概念；在鴉片戰爭（1840）前後，則加重沿海要衝、港澳的防守；洋務運動（1861）以後，漸指為應付列強侵略，所做的一切防禦及相關工作</w:t>
      </w:r>
    </w:p>
    <w:p w14:paraId="207D11CB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9204CF8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735B71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問題</w:t>
      </w:r>
    </w:p>
    <w:p w14:paraId="12BD9D8A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F5162B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直至鴉片戰爭，海洋為何僅是僅是水陸汛塘的部署？</w:t>
      </w:r>
    </w:p>
    <w:p w14:paraId="4045E1E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然而從另一角度來看，台灣作為一個海島，其防衛本質理應側重海洋，但對於海防的理解，為何遲至19世紀後才警醒？該問題的浮現，遂成為本書首要的研究動機；</w:t>
      </w:r>
    </w:p>
    <w:p w14:paraId="53F8FED6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2554B5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D38C64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而對於它的思考，則從清代邊疆政策中找尋。整體來說清廷對陸疆治理的熟稔數倍於海疆。前者不僅有理藩院總括其事，且事權均交付宗室負責。後者則不然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因為海疆多為漢人所居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海戰又為八旗所短</w:t>
      </w:r>
      <w:r w:rsidRPr="00CA17FD">
        <w:rPr>
          <w:rFonts w:ascii="PMingLiU" w:eastAsia="PMingLiU" w:hAnsi="PMingLiU" w:cs="Times New Roman"/>
          <w:sz w:val="22"/>
          <w:szCs w:val="22"/>
        </w:rPr>
        <w:t>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所以在將權力下放至沿海各督、撫的同時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亦暗藏戒慎之心。由此可知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清代海疆政策的保守性非事出无因。</w:t>
      </w:r>
    </w:p>
    <w:p w14:paraId="361CC640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8EE615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C190326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中國為何長期未能發展海權？</w:t>
      </w:r>
    </w:p>
    <w:p w14:paraId="269A99A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其次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中國長期未能發展海權的疑問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則是本書另一個研究動機。</w:t>
      </w:r>
    </w:p>
    <w:p w14:paraId="1405752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06B6E8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7CB87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對於海權的定義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若把它解釋為善於發揮戰略地理的優勢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則清廷因有控制台灣海峽的條件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早應助其成為海權國家。然事與願違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這當中的諸多關鍵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正可從清廷對台灣海防的經營中表露出來。</w:t>
      </w:r>
    </w:p>
    <w:p w14:paraId="5FBE8620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B2C56FD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F11E7D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學界對清代台灣海防的研究</w:t>
      </w:r>
    </w:p>
    <w:p w14:paraId="4CF7612B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9578E74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集中在清末洋務運動</w:t>
      </w:r>
    </w:p>
    <w:p w14:paraId="3F00DE31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1960年代台灣史學界對於海防的探討，多以清末洋務運動為主；</w:t>
      </w:r>
    </w:p>
    <w:p w14:paraId="1F58E6C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09A2621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4B57E8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 xml:space="preserve"> 1970年代左右，對於海防的研究仍繼承之前的積累，並衍生出治台政策、台灣建省、條約開港、歷史人物等議題。</w:t>
      </w:r>
    </w:p>
    <w:p w14:paraId="61C4DAC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8094820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720D2E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到了1980年代，基本上所有台灣海防的議題，都不脫上述範圍。不過對於特定軍事史的專題，開始有集大成的研究出現，這當中的代表學者為許雪姬與王家儉。前者主要對於清代台灣的武備制度，舉凡綠營的建置、總兵官的職權、班兵的功能等有深入分析；後者則對於晚清海防思想的源起、海防論的傳播、海軍衙門的運作等有綜合性的討論。</w:t>
      </w:r>
    </w:p>
    <w:p w14:paraId="4148F676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723EC6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830F599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視角偏重大陸，忽略島嶼</w:t>
      </w:r>
    </w:p>
    <w:p w14:paraId="794AC1AD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針對所謂「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台灣海防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討論仍嫌片斷而零碎。首先在時間上，以往對於海防的研究，可說全集中在洋務運動時代，對於同治朝以前的海防建設，則較少提及。其次在空間上，在討論到海防的議題時，常以大陸作為主體性的思考，而忽略島嶼在其運作過程的重要性。最後在各項專題研究上，雖有學者做過單一的討論，但如何放寬到清廷經營台灣海防的格局則少</w:t>
      </w:r>
    </w:p>
    <w:p w14:paraId="43F4F48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7566B8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9675376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內容大要</w:t>
      </w:r>
    </w:p>
    <w:p w14:paraId="4BF9ABA9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、二章為背景討論，其目的在於建構台灣海、陸的空間特質。第三、四章偏重動態式的分析，除延續前兩章的建構外，開始對問題意識做深入的探討。第五章則說明清末人事問題對海防的紛擾，並為清代台灣海防的結局做一收場。以下即是各章節內容的簡介。</w:t>
      </w:r>
    </w:p>
    <w:p w14:paraId="443B4B69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1C8CCE4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F69272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第一章以港口與海運為主</w:t>
      </w:r>
    </w:p>
    <w:p w14:paraId="0011268C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D006EB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第一節討論清廷對於台灣港口三種不同的設防型態。雖然「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正口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防衛看似官方的重點，但其餘的小港卻因走私和偷渡的猖獗，更易形成海防的死角。本節將條列出康熙至光緒朝，台、澎200多個港澳的地理形勢、泊船條件與沙淤狀況，進而說明戰爭時的表現與戰略地位消長。</w:t>
      </w:r>
    </w:p>
    <w:p w14:paraId="04A3987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31C6FF0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4FEFCD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節的重點在于歸納台海的航線。雖然早在17世紀，台灣周邊海域已被荷蘭人划入航道之中；但受限於清代前、中期台閩對渡的管制，往後不論是航線的開闢，還是航務的發展，反倒有停滯的趨勢。本節欲重繪當時台灣島內、外，以及台閩至海外的水程，並配合航海的迷信、民船的種類等專題，說明該階段海上生活的例如海盜的研究，大部分都把焦點關注在嘉慶時期的蔡牽之亂，對於其他時期則著墨甚少。</w:t>
      </w:r>
    </w:p>
    <w:p w14:paraId="053695DB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A1FAC8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C2B8DB1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移民的反面即是偷渡，但對於此多偏向社會人口結構的分析。戰爭則以個案討論者居多，少有綜合為刺激與反應的檢討。海上交通中的配運，長期以來為人所忽視。至於海關釐卡雖被劃歸為經濟史範疇，但它們所擁有防堵走私及驗證的海防功能，仍有再討論的必要。</w:t>
      </w:r>
    </w:p>
    <w:p w14:paraId="3DE78B6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6DCC36A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E41AC2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第三節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的內容則為前一節的延伸。因為既然有正口間的對渡，所以兩地的運輸量也有嚴格的規定，甚至有被壟斷的跡象。再加上帆船與輪船的載運量不同，平時與戰時的風險等，使得該問題益形複雜。本節探討在有限度的運輸下，民間商船在清代被官方托付如班兵、米谷、公文、人犯、馬匹、棺骸、餉銀、官員等的載運狀況。</w:t>
      </w:r>
    </w:p>
    <w:p w14:paraId="08760433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328BDC90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A995774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第二章以行政與管理為主。</w:t>
      </w:r>
    </w:p>
    <w:p w14:paraId="27BCE07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節先討論文、武官員的位階。海防本為武官職責，但在清代卻因為文官對其任務的佐理，遂變得較為複雜。本節擬由建置與營制的演變，以及文、武衙署分布的位置，分析各職司對其區域的管轄，並討論彼此工作的配合程度。</w:t>
      </w:r>
    </w:p>
    <w:p w14:paraId="13FD3C6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5042F0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C8E5041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此外，亦著重內地官員的協辦，尤其是對渡口岸的官員與清末因興辦洋務所增置的職官。最後則討論清代台灣的防海議，進而爬梳出當時海防思想的演變與缺失。</w:t>
      </w:r>
    </w:p>
    <w:p w14:paraId="3AA9A68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967605E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DE8B444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節是檢討下級兵勇的執行能力。清代駐台的軍隊本以綠營與勇營為主，但礙於當地動亂頻仍，民間性的防衛武力———團練也很重要。借由汛塘、炮台等據點的分布，可以很完整地建構出一張台灣海防藍圖。至於營伍所使用的火器，則又是該節另一個重點。因為從武器的運用，可得知當時的作戰型態與戰技優劣。</w:t>
      </w:r>
    </w:p>
    <w:p w14:paraId="53585E6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002B97FA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372088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color w:val="EE0000"/>
          <w:sz w:val="22"/>
          <w:szCs w:val="22"/>
        </w:rPr>
        <w:t>第三節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討論海防的經費，並鎖定造船與軍品為兩大主題。</w:t>
      </w:r>
    </w:p>
    <w:p w14:paraId="68BDA0B8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前者偏重船價的統計，擬從官價與市價中分析出各項目的支出。後者則偏重個案式的討論，以戰船洗、試放火藥、建築營房、採購對象、軍費奏銷為主。</w:t>
      </w:r>
    </w:p>
    <w:p w14:paraId="4DCBA93B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192815FA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1DFCD9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3. 第三章以船政與水師為主，其主旨在探討洋面武力。</w:t>
      </w:r>
    </w:p>
    <w:p w14:paraId="71E0104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所謂洋面武力是以船隻為主體的海上軍力。第一節先提及台灣船厂的運作，之後再與福建的福州、漳州、泉州船厂做一整體性敘述；接著說明洋務運動時期，馬尾造船厂帶給舊式船厂的衝擊，並論述台灣建省後，其船政何以會沒落等原因。至於船政作業與台地開發的關係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本書以軍工匠寮為中心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探究漢人在開發山地過程中緒論</w:t>
      </w:r>
      <w:r w:rsidRPr="00CA17FD">
        <w:rPr>
          <w:rFonts w:ascii="PMingLiU" w:eastAsia="PMingLiU" w:hAnsi="PMingLiU" w:cs="Times New Roman"/>
          <w:sz w:val="22"/>
          <w:szCs w:val="22"/>
        </w:rPr>
        <w:t>9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與原住民的對應。另外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書中還提及船隻修造等技術性問題。</w:t>
      </w:r>
    </w:p>
    <w:p w14:paraId="3BDD1A28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2C414A5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FCEF02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第二節探討綠營水師在台灣的布防。本節除了敘述各種不同的洋巡方法與安檢規定外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最重要的是說明由於輕忽洋面武力的結果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使得台灣海防</w:t>
      </w:r>
      <w:r w:rsidRPr="00CA17FD">
        <w:rPr>
          <w:rFonts w:ascii="PMingLiU" w:eastAsia="PMingLiU" w:hAnsi="PMingLiU" w:cs="Times New Roman"/>
          <w:sz w:val="22"/>
          <w:szCs w:val="22"/>
        </w:rPr>
        <w:t>「</w:t>
      </w:r>
      <w:r w:rsidRPr="00CA17FD">
        <w:rPr>
          <w:rFonts w:ascii="PMingLiU" w:eastAsia="BiauKaiHK Regular" w:hAnsi="PMingLiU" w:cs="Times New Roman" w:hint="eastAsia"/>
          <w:sz w:val="22"/>
          <w:szCs w:val="22"/>
        </w:rPr>
        <w:t>以陸制海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」的走向日趨明顯</w:t>
      </w:r>
      <w:r w:rsidRPr="00CA17FD">
        <w:rPr>
          <w:rFonts w:ascii="PMingLiU" w:eastAsia="PMingLiU" w:hAnsi="PMingLiU" w:cs="Times New Roman"/>
          <w:sz w:val="22"/>
          <w:szCs w:val="22"/>
        </w:rPr>
        <w:t>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終至水師因无船可用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迫使整體防禦不得不以嚴守海岸來進行。</w:t>
      </w:r>
    </w:p>
    <w:p w14:paraId="20E1147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5DAE774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9EE3F41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第四章以海防的對象為主。</w:t>
      </w:r>
    </w:p>
    <w:p w14:paraId="73FD9307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第一節以文武口、海關、釐卡為中心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探討偷渡、走私的情形。蓋因於航空器未發明以前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作為台灣惟一門戶的港口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清廷應該易於把關。不過由於法令執行不夠嚴格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抑或文武口員亂收規費等影響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无形中助長了偷渡、走私的歪風。爾後因條約開港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使得清廷在船鈔、貨釐的認定上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又必須與列強在口岸進行一番徵稅權的角逐。</w:t>
      </w:r>
    </w:p>
    <w:p w14:paraId="61FE5B64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76050216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92E0260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</w:rPr>
        <w:t>第二節則討論港口在台灣民變中扮演的角色。事實上港口在每次事件的發展上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均帶有關鍵性地位。因為亂發之初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官軍在无力平亂之余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常會以死守港口的方式待援</w:t>
      </w:r>
      <w:r w:rsidRPr="00CA17FD">
        <w:rPr>
          <w:rFonts w:ascii="PMingLiU" w:eastAsia="PMingLiU" w:hAnsi="PMingLiU" w:cs="Times New Roman"/>
          <w:sz w:val="22"/>
          <w:szCs w:val="22"/>
        </w:rPr>
        <w:t>；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若待大軍一到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即以港口為基地指向內陸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或以優勢的水軍逐港反攻。如此更會驅使民變軍把攻克港口列為首要目標</w:t>
      </w:r>
      <w:r w:rsidRPr="00CA17FD">
        <w:rPr>
          <w:rFonts w:ascii="PMingLiU" w:eastAsia="PMingLiU" w:hAnsi="PMingLiU" w:cs="Times New Roman"/>
          <w:sz w:val="22"/>
          <w:szCs w:val="22"/>
        </w:rPr>
        <w:t>，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這也意味著雙方在此的拼斗會更加激烈。本書將以清代台灣五大亂事中的四例———朱一貴、林爽文、張丙、戴潮春事件說明。</w:t>
      </w:r>
    </w:p>
    <w:p w14:paraId="351DE46F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許毓良，《清代臺灣的海防》(北京：社會科學文獻出版社，2003年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7月)</w:t>
      </w:r>
    </w:p>
    <w:p w14:paraId="56D13BB5" w14:textId="77777777" w:rsidR="0091702B" w:rsidRPr="00CA17FD" w:rsidRDefault="0091702B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CE584BF" w14:textId="6580AA6D" w:rsidR="00DE33B0" w:rsidRPr="0091702B" w:rsidRDefault="00DE33B0" w:rsidP="0091702B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sectPr w:rsidR="00DE33B0" w:rsidRPr="0091702B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B3"/>
    <w:rsid w:val="000D1AD9"/>
    <w:rsid w:val="001E4FBD"/>
    <w:rsid w:val="00247536"/>
    <w:rsid w:val="004D16CC"/>
    <w:rsid w:val="004E2153"/>
    <w:rsid w:val="0091702B"/>
    <w:rsid w:val="00AD7CB3"/>
    <w:rsid w:val="00B51D8D"/>
    <w:rsid w:val="00B56244"/>
    <w:rsid w:val="00B83FDB"/>
    <w:rsid w:val="00C54915"/>
    <w:rsid w:val="00DE33B0"/>
    <w:rsid w:val="00DF0E56"/>
    <w:rsid w:val="00E37EB2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4F607"/>
  <w15:chartTrackingRefBased/>
  <w15:docId w15:val="{26DDF0A8-A547-EF40-AE27-AE859389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915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54915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13"/>
      <w:szCs w:val="13"/>
      <w14:ligatures w14:val="none"/>
    </w:rPr>
  </w:style>
  <w:style w:type="paragraph" w:customStyle="1" w:styleId="p2">
    <w:name w:val="p2"/>
    <w:basedOn w:val="Normal"/>
    <w:rsid w:val="00C54915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31"/>
      <w:szCs w:val="31"/>
      <w14:ligatures w14:val="none"/>
    </w:rPr>
  </w:style>
  <w:style w:type="paragraph" w:customStyle="1" w:styleId="p3">
    <w:name w:val="p3"/>
    <w:basedOn w:val="Normal"/>
    <w:rsid w:val="00C54915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C54915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16"/>
      <w:szCs w:val="16"/>
      <w14:ligatures w14:val="none"/>
    </w:rPr>
  </w:style>
  <w:style w:type="paragraph" w:customStyle="1" w:styleId="p5">
    <w:name w:val="p5"/>
    <w:basedOn w:val="Normal"/>
    <w:rsid w:val="00C5491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3"/>
      <w:szCs w:val="13"/>
      <w14:ligatures w14:val="none"/>
    </w:rPr>
  </w:style>
  <w:style w:type="paragraph" w:customStyle="1" w:styleId="p6">
    <w:name w:val="p6"/>
    <w:basedOn w:val="Normal"/>
    <w:rsid w:val="00C54915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C54915"/>
    <w:rPr>
      <w:rFonts w:ascii="Helvetica" w:hAnsi="Helvetica" w:hint="default"/>
      <w:color w:val="000000"/>
      <w:sz w:val="13"/>
      <w:szCs w:val="13"/>
    </w:rPr>
  </w:style>
  <w:style w:type="character" w:customStyle="1" w:styleId="s2">
    <w:name w:val="s2"/>
    <w:basedOn w:val="DefaultParagraphFont"/>
    <w:rsid w:val="00C54915"/>
    <w:rPr>
      <w:rFonts w:ascii="Helvetica" w:hAnsi="Helvetica" w:hint="default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1</TotalTime>
  <Pages>3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3</cp:revision>
  <dcterms:created xsi:type="dcterms:W3CDTF">2026-02-13T06:15:00Z</dcterms:created>
  <dcterms:modified xsi:type="dcterms:W3CDTF">2026-02-13T06:19:00Z</dcterms:modified>
</cp:coreProperties>
</file>