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MingLiU" w:eastAsia="PMingLiU" w:hAnsi="PMingLiU"/>
          <w:b w:val="0"/>
          <w:bCs w:val="0"/>
          <w:sz w:val="22"/>
          <w:szCs w:val="22"/>
        </w:rPr>
        <w:id w:val="1687713967"/>
        <w:docPartObj>
          <w:docPartGallery w:val="Table of Contents"/>
          <w:docPartUnique/>
        </w:docPartObj>
      </w:sdtPr>
      <w:sdtEndPr>
        <w:rPr>
          <w:rFonts w:cstheme="minorBidi"/>
          <w:noProof/>
          <w:color w:val="auto"/>
          <w:kern w:val="2"/>
          <w:lang w:val="en-HK" w:eastAsia="zh-TW"/>
          <w14:ligatures w14:val="standardContextual"/>
        </w:rPr>
      </w:sdtEndPr>
      <w:sdtContent>
        <w:p w14:paraId="710288F1" w14:textId="44C65414" w:rsidR="00370634" w:rsidRPr="009E2717" w:rsidRDefault="00370634" w:rsidP="00095109">
          <w:pPr>
            <w:pStyle w:val="TOCHeading"/>
            <w:spacing w:before="0" w:line="360" w:lineRule="auto"/>
            <w:jc w:val="both"/>
            <w:rPr>
              <w:rFonts w:ascii="PMingLiU" w:eastAsia="PMingLiU" w:hAnsi="PMingLiU"/>
              <w:b w:val="0"/>
              <w:bCs w:val="0"/>
              <w:sz w:val="22"/>
              <w:szCs w:val="22"/>
            </w:rPr>
          </w:pPr>
        </w:p>
        <w:p w14:paraId="4B740001" w14:textId="3FD2C282" w:rsidR="00370634" w:rsidRPr="009E2717" w:rsidRDefault="00370634" w:rsidP="00095109">
          <w:pPr>
            <w:pStyle w:val="TOC1"/>
            <w:tabs>
              <w:tab w:val="right" w:leader="dot" w:pos="11170"/>
            </w:tabs>
            <w:spacing w:before="0" w:line="360" w:lineRule="auto"/>
            <w:jc w:val="both"/>
            <w:rPr>
              <w:rFonts w:ascii="PMingLiU" w:eastAsia="PMingLiU" w:hAnsi="PMingLiU"/>
              <w:b w:val="0"/>
              <w:bCs w:val="0"/>
              <w:i w:val="0"/>
              <w:iCs w:val="0"/>
              <w:noProof/>
              <w:sz w:val="22"/>
              <w:szCs w:val="22"/>
            </w:rPr>
          </w:pPr>
          <w:r w:rsidRPr="009E2717">
            <w:rPr>
              <w:rFonts w:ascii="PMingLiU" w:eastAsia="PMingLiU" w:hAnsi="PMingLiU"/>
              <w:b w:val="0"/>
              <w:bCs w:val="0"/>
              <w:i w:val="0"/>
              <w:iCs w:val="0"/>
              <w:sz w:val="22"/>
              <w:szCs w:val="22"/>
            </w:rPr>
            <w:fldChar w:fldCharType="begin"/>
          </w:r>
          <w:r w:rsidRPr="009E2717">
            <w:rPr>
              <w:rFonts w:ascii="PMingLiU" w:eastAsia="PMingLiU" w:hAnsi="PMingLiU"/>
              <w:b w:val="0"/>
              <w:bCs w:val="0"/>
              <w:i w:val="0"/>
              <w:iCs w:val="0"/>
              <w:sz w:val="22"/>
              <w:szCs w:val="22"/>
            </w:rPr>
            <w:instrText xml:space="preserve"> TOC \o "1-3" \h \z \u </w:instrText>
          </w:r>
          <w:r w:rsidRPr="009E2717">
            <w:rPr>
              <w:rFonts w:ascii="PMingLiU" w:eastAsia="PMingLiU" w:hAnsi="PMingLiU"/>
              <w:b w:val="0"/>
              <w:bCs w:val="0"/>
              <w:i w:val="0"/>
              <w:iCs w:val="0"/>
              <w:sz w:val="22"/>
              <w:szCs w:val="22"/>
            </w:rPr>
            <w:fldChar w:fldCharType="separate"/>
          </w:r>
          <w:hyperlink w:anchor="_Toc221359231" w:history="1">
            <w:r w:rsidRPr="009E2717">
              <w:rPr>
                <w:rStyle w:val="Hyperlink"/>
                <w:rFonts w:ascii="PMingLiU" w:eastAsia="PMingLiU" w:hAnsi="PMingLiU"/>
                <w:b w:val="0"/>
                <w:bCs w:val="0"/>
                <w:i w:val="0"/>
                <w:iCs w:val="0"/>
                <w:noProof/>
                <w:sz w:val="22"/>
                <w:szCs w:val="22"/>
                <w:lang w:val="en-US"/>
              </w:rPr>
              <w:t xml:space="preserve">1. </w:t>
            </w:r>
            <w:r w:rsidRPr="009E2717">
              <w:rPr>
                <w:rStyle w:val="Hyperlink"/>
                <w:rFonts w:ascii="PMingLiU" w:eastAsia="PMingLiU" w:hAnsi="PMingLiU" w:hint="eastAsia"/>
                <w:b w:val="0"/>
                <w:bCs w:val="0"/>
                <w:i w:val="0"/>
                <w:iCs w:val="0"/>
                <w:noProof/>
                <w:sz w:val="22"/>
                <w:szCs w:val="22"/>
                <w:lang w:val="en-US"/>
              </w:rPr>
              <w:t>「方略」意思</w:t>
            </w:r>
            <w:r w:rsidRPr="009E2717">
              <w:rPr>
                <w:rFonts w:ascii="PMingLiU" w:eastAsia="PMingLiU" w:hAnsi="PMingLiU"/>
                <w:b w:val="0"/>
                <w:bCs w:val="0"/>
                <w:i w:val="0"/>
                <w:iCs w:val="0"/>
                <w:noProof/>
                <w:webHidden/>
                <w:sz w:val="22"/>
                <w:szCs w:val="22"/>
              </w:rPr>
              <w:tab/>
            </w:r>
            <w:r w:rsidRPr="009E2717">
              <w:rPr>
                <w:rFonts w:ascii="PMingLiU" w:eastAsia="PMingLiU" w:hAnsi="PMingLiU"/>
                <w:b w:val="0"/>
                <w:bCs w:val="0"/>
                <w:i w:val="0"/>
                <w:iCs w:val="0"/>
                <w:noProof/>
                <w:webHidden/>
                <w:sz w:val="22"/>
                <w:szCs w:val="22"/>
              </w:rPr>
              <w:fldChar w:fldCharType="begin"/>
            </w:r>
            <w:r w:rsidRPr="009E2717">
              <w:rPr>
                <w:rFonts w:ascii="PMingLiU" w:eastAsia="PMingLiU" w:hAnsi="PMingLiU"/>
                <w:b w:val="0"/>
                <w:bCs w:val="0"/>
                <w:i w:val="0"/>
                <w:iCs w:val="0"/>
                <w:noProof/>
                <w:webHidden/>
                <w:sz w:val="22"/>
                <w:szCs w:val="22"/>
              </w:rPr>
              <w:instrText xml:space="preserve"> PAGEREF _Toc221359231 \h </w:instrText>
            </w:r>
            <w:r w:rsidRPr="009E2717">
              <w:rPr>
                <w:rFonts w:ascii="PMingLiU" w:eastAsia="PMingLiU" w:hAnsi="PMingLiU"/>
                <w:b w:val="0"/>
                <w:bCs w:val="0"/>
                <w:i w:val="0"/>
                <w:iCs w:val="0"/>
                <w:noProof/>
                <w:webHidden/>
                <w:sz w:val="22"/>
                <w:szCs w:val="22"/>
              </w:rPr>
            </w:r>
            <w:r w:rsidRPr="009E2717">
              <w:rPr>
                <w:rFonts w:ascii="PMingLiU" w:eastAsia="PMingLiU" w:hAnsi="PMingLiU"/>
                <w:b w:val="0"/>
                <w:bCs w:val="0"/>
                <w:i w:val="0"/>
                <w:iCs w:val="0"/>
                <w:noProof/>
                <w:webHidden/>
                <w:sz w:val="22"/>
                <w:szCs w:val="22"/>
              </w:rPr>
              <w:fldChar w:fldCharType="separate"/>
            </w:r>
            <w:r w:rsidRPr="009E2717">
              <w:rPr>
                <w:rFonts w:ascii="PMingLiU" w:eastAsia="PMingLiU" w:hAnsi="PMingLiU"/>
                <w:b w:val="0"/>
                <w:bCs w:val="0"/>
                <w:i w:val="0"/>
                <w:iCs w:val="0"/>
                <w:noProof/>
                <w:webHidden/>
                <w:sz w:val="22"/>
                <w:szCs w:val="22"/>
              </w:rPr>
              <w:t>2</w:t>
            </w:r>
            <w:r w:rsidRPr="009E2717">
              <w:rPr>
                <w:rFonts w:ascii="PMingLiU" w:eastAsia="PMingLiU" w:hAnsi="PMingLiU"/>
                <w:b w:val="0"/>
                <w:bCs w:val="0"/>
                <w:i w:val="0"/>
                <w:iCs w:val="0"/>
                <w:noProof/>
                <w:webHidden/>
                <w:sz w:val="22"/>
                <w:szCs w:val="22"/>
              </w:rPr>
              <w:fldChar w:fldCharType="end"/>
            </w:r>
          </w:hyperlink>
        </w:p>
        <w:p w14:paraId="3C30F124" w14:textId="37C15E19" w:rsidR="00370634" w:rsidRPr="009E2717" w:rsidRDefault="00370634" w:rsidP="00095109">
          <w:pPr>
            <w:pStyle w:val="TOC1"/>
            <w:tabs>
              <w:tab w:val="right" w:leader="dot" w:pos="11170"/>
            </w:tabs>
            <w:spacing w:before="0" w:line="360" w:lineRule="auto"/>
            <w:jc w:val="both"/>
            <w:rPr>
              <w:rFonts w:ascii="PMingLiU" w:eastAsia="PMingLiU" w:hAnsi="PMingLiU"/>
              <w:b w:val="0"/>
              <w:bCs w:val="0"/>
              <w:i w:val="0"/>
              <w:iCs w:val="0"/>
              <w:noProof/>
              <w:sz w:val="22"/>
              <w:szCs w:val="22"/>
            </w:rPr>
          </w:pPr>
          <w:hyperlink w:anchor="_Toc221359232" w:history="1">
            <w:r w:rsidRPr="009E2717">
              <w:rPr>
                <w:rStyle w:val="Hyperlink"/>
                <w:rFonts w:ascii="PMingLiU" w:eastAsia="PMingLiU" w:hAnsi="PMingLiU"/>
                <w:b w:val="0"/>
                <w:bCs w:val="0"/>
                <w:i w:val="0"/>
                <w:iCs w:val="0"/>
                <w:noProof/>
                <w:sz w:val="22"/>
                <w:szCs w:val="22"/>
                <w:lang w:val="en-US"/>
              </w:rPr>
              <w:t xml:space="preserve">2. </w:t>
            </w:r>
            <w:r w:rsidRPr="009E2717">
              <w:rPr>
                <w:rStyle w:val="Hyperlink"/>
                <w:rFonts w:ascii="PMingLiU" w:eastAsia="PMingLiU" w:hAnsi="PMingLiU" w:hint="eastAsia"/>
                <w:b w:val="0"/>
                <w:bCs w:val="0"/>
                <w:i w:val="0"/>
                <w:iCs w:val="0"/>
                <w:noProof/>
                <w:sz w:val="22"/>
                <w:szCs w:val="22"/>
                <w:lang w:val="en-US"/>
              </w:rPr>
              <w:t>方略作為史書體例</w:t>
            </w:r>
            <w:r w:rsidRPr="009E2717">
              <w:rPr>
                <w:rFonts w:ascii="PMingLiU" w:eastAsia="PMingLiU" w:hAnsi="PMingLiU"/>
                <w:b w:val="0"/>
                <w:bCs w:val="0"/>
                <w:i w:val="0"/>
                <w:iCs w:val="0"/>
                <w:noProof/>
                <w:webHidden/>
                <w:sz w:val="22"/>
                <w:szCs w:val="22"/>
              </w:rPr>
              <w:tab/>
            </w:r>
            <w:r w:rsidRPr="009E2717">
              <w:rPr>
                <w:rFonts w:ascii="PMingLiU" w:eastAsia="PMingLiU" w:hAnsi="PMingLiU"/>
                <w:b w:val="0"/>
                <w:bCs w:val="0"/>
                <w:i w:val="0"/>
                <w:iCs w:val="0"/>
                <w:noProof/>
                <w:webHidden/>
                <w:sz w:val="22"/>
                <w:szCs w:val="22"/>
              </w:rPr>
              <w:fldChar w:fldCharType="begin"/>
            </w:r>
            <w:r w:rsidRPr="009E2717">
              <w:rPr>
                <w:rFonts w:ascii="PMingLiU" w:eastAsia="PMingLiU" w:hAnsi="PMingLiU"/>
                <w:b w:val="0"/>
                <w:bCs w:val="0"/>
                <w:i w:val="0"/>
                <w:iCs w:val="0"/>
                <w:noProof/>
                <w:webHidden/>
                <w:sz w:val="22"/>
                <w:szCs w:val="22"/>
              </w:rPr>
              <w:instrText xml:space="preserve"> PAGEREF _Toc221359232 \h </w:instrText>
            </w:r>
            <w:r w:rsidRPr="009E2717">
              <w:rPr>
                <w:rFonts w:ascii="PMingLiU" w:eastAsia="PMingLiU" w:hAnsi="PMingLiU"/>
                <w:b w:val="0"/>
                <w:bCs w:val="0"/>
                <w:i w:val="0"/>
                <w:iCs w:val="0"/>
                <w:noProof/>
                <w:webHidden/>
                <w:sz w:val="22"/>
                <w:szCs w:val="22"/>
              </w:rPr>
            </w:r>
            <w:r w:rsidRPr="009E2717">
              <w:rPr>
                <w:rFonts w:ascii="PMingLiU" w:eastAsia="PMingLiU" w:hAnsi="PMingLiU"/>
                <w:b w:val="0"/>
                <w:bCs w:val="0"/>
                <w:i w:val="0"/>
                <w:iCs w:val="0"/>
                <w:noProof/>
                <w:webHidden/>
                <w:sz w:val="22"/>
                <w:szCs w:val="22"/>
              </w:rPr>
              <w:fldChar w:fldCharType="separate"/>
            </w:r>
            <w:r w:rsidRPr="009E2717">
              <w:rPr>
                <w:rFonts w:ascii="PMingLiU" w:eastAsia="PMingLiU" w:hAnsi="PMingLiU"/>
                <w:b w:val="0"/>
                <w:bCs w:val="0"/>
                <w:i w:val="0"/>
                <w:iCs w:val="0"/>
                <w:noProof/>
                <w:webHidden/>
                <w:sz w:val="22"/>
                <w:szCs w:val="22"/>
              </w:rPr>
              <w:t>3</w:t>
            </w:r>
            <w:r w:rsidRPr="009E2717">
              <w:rPr>
                <w:rFonts w:ascii="PMingLiU" w:eastAsia="PMingLiU" w:hAnsi="PMingLiU"/>
                <w:b w:val="0"/>
                <w:bCs w:val="0"/>
                <w:i w:val="0"/>
                <w:iCs w:val="0"/>
                <w:noProof/>
                <w:webHidden/>
                <w:sz w:val="22"/>
                <w:szCs w:val="22"/>
              </w:rPr>
              <w:fldChar w:fldCharType="end"/>
            </w:r>
          </w:hyperlink>
        </w:p>
        <w:p w14:paraId="3C9FD68F" w14:textId="0E9EFC56" w:rsidR="00370634" w:rsidRPr="009E2717" w:rsidRDefault="00370634" w:rsidP="00095109">
          <w:pPr>
            <w:pStyle w:val="TOC1"/>
            <w:tabs>
              <w:tab w:val="right" w:leader="dot" w:pos="11170"/>
            </w:tabs>
            <w:spacing w:before="0" w:line="360" w:lineRule="auto"/>
            <w:jc w:val="both"/>
            <w:rPr>
              <w:rFonts w:ascii="PMingLiU" w:eastAsia="PMingLiU" w:hAnsi="PMingLiU"/>
              <w:b w:val="0"/>
              <w:bCs w:val="0"/>
              <w:i w:val="0"/>
              <w:iCs w:val="0"/>
              <w:noProof/>
              <w:sz w:val="22"/>
              <w:szCs w:val="22"/>
            </w:rPr>
          </w:pPr>
          <w:hyperlink w:anchor="_Toc221359233" w:history="1">
            <w:r w:rsidRPr="009E2717">
              <w:rPr>
                <w:rStyle w:val="Hyperlink"/>
                <w:rFonts w:ascii="PMingLiU" w:eastAsia="PMingLiU" w:hAnsi="PMingLiU"/>
                <w:b w:val="0"/>
                <w:bCs w:val="0"/>
                <w:i w:val="0"/>
                <w:iCs w:val="0"/>
                <w:noProof/>
                <w:sz w:val="22"/>
                <w:szCs w:val="22"/>
                <w:lang w:val="en-US"/>
              </w:rPr>
              <w:t xml:space="preserve">3. </w:t>
            </w:r>
            <w:r w:rsidRPr="009E2717">
              <w:rPr>
                <w:rStyle w:val="Hyperlink"/>
                <w:rFonts w:ascii="PMingLiU" w:eastAsia="PMingLiU" w:hAnsi="PMingLiU" w:hint="eastAsia"/>
                <w:b w:val="0"/>
                <w:bCs w:val="0"/>
                <w:i w:val="0"/>
                <w:iCs w:val="0"/>
                <w:noProof/>
                <w:sz w:val="22"/>
                <w:szCs w:val="22"/>
                <w:lang w:val="en-US"/>
              </w:rPr>
              <w:t>清廷編修方略</w:t>
            </w:r>
            <w:r w:rsidRPr="009E2717">
              <w:rPr>
                <w:rFonts w:ascii="PMingLiU" w:eastAsia="PMingLiU" w:hAnsi="PMingLiU"/>
                <w:b w:val="0"/>
                <w:bCs w:val="0"/>
                <w:i w:val="0"/>
                <w:iCs w:val="0"/>
                <w:noProof/>
                <w:webHidden/>
                <w:sz w:val="22"/>
                <w:szCs w:val="22"/>
              </w:rPr>
              <w:tab/>
            </w:r>
            <w:r w:rsidRPr="009E2717">
              <w:rPr>
                <w:rFonts w:ascii="PMingLiU" w:eastAsia="PMingLiU" w:hAnsi="PMingLiU"/>
                <w:b w:val="0"/>
                <w:bCs w:val="0"/>
                <w:i w:val="0"/>
                <w:iCs w:val="0"/>
                <w:noProof/>
                <w:webHidden/>
                <w:sz w:val="22"/>
                <w:szCs w:val="22"/>
              </w:rPr>
              <w:fldChar w:fldCharType="begin"/>
            </w:r>
            <w:r w:rsidRPr="009E2717">
              <w:rPr>
                <w:rFonts w:ascii="PMingLiU" w:eastAsia="PMingLiU" w:hAnsi="PMingLiU"/>
                <w:b w:val="0"/>
                <w:bCs w:val="0"/>
                <w:i w:val="0"/>
                <w:iCs w:val="0"/>
                <w:noProof/>
                <w:webHidden/>
                <w:sz w:val="22"/>
                <w:szCs w:val="22"/>
              </w:rPr>
              <w:instrText xml:space="preserve"> PAGEREF _Toc221359233 \h </w:instrText>
            </w:r>
            <w:r w:rsidRPr="009E2717">
              <w:rPr>
                <w:rFonts w:ascii="PMingLiU" w:eastAsia="PMingLiU" w:hAnsi="PMingLiU"/>
                <w:b w:val="0"/>
                <w:bCs w:val="0"/>
                <w:i w:val="0"/>
                <w:iCs w:val="0"/>
                <w:noProof/>
                <w:webHidden/>
                <w:sz w:val="22"/>
                <w:szCs w:val="22"/>
              </w:rPr>
            </w:r>
            <w:r w:rsidRPr="009E2717">
              <w:rPr>
                <w:rFonts w:ascii="PMingLiU" w:eastAsia="PMingLiU" w:hAnsi="PMingLiU"/>
                <w:b w:val="0"/>
                <w:bCs w:val="0"/>
                <w:i w:val="0"/>
                <w:iCs w:val="0"/>
                <w:noProof/>
                <w:webHidden/>
                <w:sz w:val="22"/>
                <w:szCs w:val="22"/>
              </w:rPr>
              <w:fldChar w:fldCharType="separate"/>
            </w:r>
            <w:r w:rsidRPr="009E2717">
              <w:rPr>
                <w:rFonts w:ascii="PMingLiU" w:eastAsia="PMingLiU" w:hAnsi="PMingLiU"/>
                <w:b w:val="0"/>
                <w:bCs w:val="0"/>
                <w:i w:val="0"/>
                <w:iCs w:val="0"/>
                <w:noProof/>
                <w:webHidden/>
                <w:sz w:val="22"/>
                <w:szCs w:val="22"/>
              </w:rPr>
              <w:t>4</w:t>
            </w:r>
            <w:r w:rsidRPr="009E2717">
              <w:rPr>
                <w:rFonts w:ascii="PMingLiU" w:eastAsia="PMingLiU" w:hAnsi="PMingLiU"/>
                <w:b w:val="0"/>
                <w:bCs w:val="0"/>
                <w:i w:val="0"/>
                <w:iCs w:val="0"/>
                <w:noProof/>
                <w:webHidden/>
                <w:sz w:val="22"/>
                <w:szCs w:val="22"/>
              </w:rPr>
              <w:fldChar w:fldCharType="end"/>
            </w:r>
          </w:hyperlink>
        </w:p>
        <w:p w14:paraId="5AF6F5AD" w14:textId="2072092E" w:rsidR="00370634" w:rsidRPr="009E2717" w:rsidRDefault="00370634" w:rsidP="00095109">
          <w:pPr>
            <w:pStyle w:val="TOC1"/>
            <w:tabs>
              <w:tab w:val="right" w:leader="dot" w:pos="11170"/>
            </w:tabs>
            <w:spacing w:before="0" w:line="360" w:lineRule="auto"/>
            <w:jc w:val="both"/>
            <w:rPr>
              <w:rFonts w:ascii="PMingLiU" w:eastAsia="PMingLiU" w:hAnsi="PMingLiU"/>
              <w:b w:val="0"/>
              <w:bCs w:val="0"/>
              <w:i w:val="0"/>
              <w:iCs w:val="0"/>
              <w:noProof/>
              <w:sz w:val="22"/>
              <w:szCs w:val="22"/>
            </w:rPr>
          </w:pPr>
          <w:hyperlink w:anchor="_Toc221359234" w:history="1">
            <w:r w:rsidRPr="009E2717">
              <w:rPr>
                <w:rStyle w:val="Hyperlink"/>
                <w:rFonts w:ascii="PMingLiU" w:eastAsia="PMingLiU" w:hAnsi="PMingLiU"/>
                <w:b w:val="0"/>
                <w:bCs w:val="0"/>
                <w:i w:val="0"/>
                <w:iCs w:val="0"/>
                <w:noProof/>
                <w:sz w:val="22"/>
                <w:szCs w:val="22"/>
              </w:rPr>
              <w:t xml:space="preserve">4. </w:t>
            </w:r>
            <w:r w:rsidRPr="009E2717">
              <w:rPr>
                <w:rStyle w:val="Hyperlink"/>
                <w:rFonts w:ascii="PMingLiU" w:eastAsia="PMingLiU" w:hAnsi="PMingLiU" w:hint="eastAsia"/>
                <w:b w:val="0"/>
                <w:bCs w:val="0"/>
                <w:i w:val="0"/>
                <w:iCs w:val="0"/>
                <w:noProof/>
                <w:sz w:val="22"/>
                <w:szCs w:val="22"/>
              </w:rPr>
              <w:t>清代方略體例</w:t>
            </w:r>
            <w:r w:rsidRPr="009E2717">
              <w:rPr>
                <w:rFonts w:ascii="PMingLiU" w:eastAsia="PMingLiU" w:hAnsi="PMingLiU"/>
                <w:b w:val="0"/>
                <w:bCs w:val="0"/>
                <w:i w:val="0"/>
                <w:iCs w:val="0"/>
                <w:noProof/>
                <w:webHidden/>
                <w:sz w:val="22"/>
                <w:szCs w:val="22"/>
              </w:rPr>
              <w:tab/>
            </w:r>
            <w:r w:rsidRPr="009E2717">
              <w:rPr>
                <w:rFonts w:ascii="PMingLiU" w:eastAsia="PMingLiU" w:hAnsi="PMingLiU"/>
                <w:b w:val="0"/>
                <w:bCs w:val="0"/>
                <w:i w:val="0"/>
                <w:iCs w:val="0"/>
                <w:noProof/>
                <w:webHidden/>
                <w:sz w:val="22"/>
                <w:szCs w:val="22"/>
              </w:rPr>
              <w:fldChar w:fldCharType="begin"/>
            </w:r>
            <w:r w:rsidRPr="009E2717">
              <w:rPr>
                <w:rFonts w:ascii="PMingLiU" w:eastAsia="PMingLiU" w:hAnsi="PMingLiU"/>
                <w:b w:val="0"/>
                <w:bCs w:val="0"/>
                <w:i w:val="0"/>
                <w:iCs w:val="0"/>
                <w:noProof/>
                <w:webHidden/>
                <w:sz w:val="22"/>
                <w:szCs w:val="22"/>
              </w:rPr>
              <w:instrText xml:space="preserve"> PAGEREF _Toc221359234 \h </w:instrText>
            </w:r>
            <w:r w:rsidRPr="009E2717">
              <w:rPr>
                <w:rFonts w:ascii="PMingLiU" w:eastAsia="PMingLiU" w:hAnsi="PMingLiU"/>
                <w:b w:val="0"/>
                <w:bCs w:val="0"/>
                <w:i w:val="0"/>
                <w:iCs w:val="0"/>
                <w:noProof/>
                <w:webHidden/>
                <w:sz w:val="22"/>
                <w:szCs w:val="22"/>
              </w:rPr>
            </w:r>
            <w:r w:rsidRPr="009E2717">
              <w:rPr>
                <w:rFonts w:ascii="PMingLiU" w:eastAsia="PMingLiU" w:hAnsi="PMingLiU"/>
                <w:b w:val="0"/>
                <w:bCs w:val="0"/>
                <w:i w:val="0"/>
                <w:iCs w:val="0"/>
                <w:noProof/>
                <w:webHidden/>
                <w:sz w:val="22"/>
                <w:szCs w:val="22"/>
              </w:rPr>
              <w:fldChar w:fldCharType="separate"/>
            </w:r>
            <w:r w:rsidRPr="009E2717">
              <w:rPr>
                <w:rFonts w:ascii="PMingLiU" w:eastAsia="PMingLiU" w:hAnsi="PMingLiU"/>
                <w:b w:val="0"/>
                <w:bCs w:val="0"/>
                <w:i w:val="0"/>
                <w:iCs w:val="0"/>
                <w:noProof/>
                <w:webHidden/>
                <w:sz w:val="22"/>
                <w:szCs w:val="22"/>
              </w:rPr>
              <w:t>8</w:t>
            </w:r>
            <w:r w:rsidRPr="009E2717">
              <w:rPr>
                <w:rFonts w:ascii="PMingLiU" w:eastAsia="PMingLiU" w:hAnsi="PMingLiU"/>
                <w:b w:val="0"/>
                <w:bCs w:val="0"/>
                <w:i w:val="0"/>
                <w:iCs w:val="0"/>
                <w:noProof/>
                <w:webHidden/>
                <w:sz w:val="22"/>
                <w:szCs w:val="22"/>
              </w:rPr>
              <w:fldChar w:fldCharType="end"/>
            </w:r>
          </w:hyperlink>
        </w:p>
        <w:p w14:paraId="4F3BE3DC" w14:textId="3C745AA7" w:rsidR="00370634" w:rsidRPr="009E2717" w:rsidRDefault="00370634" w:rsidP="00095109">
          <w:pPr>
            <w:pStyle w:val="TOC1"/>
            <w:tabs>
              <w:tab w:val="right" w:leader="dot" w:pos="11170"/>
            </w:tabs>
            <w:spacing w:before="0" w:line="360" w:lineRule="auto"/>
            <w:jc w:val="both"/>
            <w:rPr>
              <w:rFonts w:ascii="PMingLiU" w:eastAsia="PMingLiU" w:hAnsi="PMingLiU"/>
              <w:b w:val="0"/>
              <w:bCs w:val="0"/>
              <w:i w:val="0"/>
              <w:iCs w:val="0"/>
              <w:noProof/>
              <w:sz w:val="22"/>
              <w:szCs w:val="22"/>
            </w:rPr>
          </w:pPr>
          <w:hyperlink w:anchor="_Toc221359235" w:history="1">
            <w:r w:rsidRPr="009E2717">
              <w:rPr>
                <w:rStyle w:val="Hyperlink"/>
                <w:rFonts w:ascii="PMingLiU" w:eastAsia="PMingLiU" w:hAnsi="PMingLiU"/>
                <w:b w:val="0"/>
                <w:bCs w:val="0"/>
                <w:i w:val="0"/>
                <w:iCs w:val="0"/>
                <w:noProof/>
                <w:sz w:val="22"/>
                <w:szCs w:val="22"/>
                <w:lang w:val="en-US"/>
              </w:rPr>
              <w:t xml:space="preserve">5. </w:t>
            </w:r>
            <w:r w:rsidRPr="009E2717">
              <w:rPr>
                <w:rStyle w:val="Hyperlink"/>
                <w:rFonts w:ascii="PMingLiU" w:eastAsia="PMingLiU" w:hAnsi="PMingLiU" w:hint="eastAsia"/>
                <w:b w:val="0"/>
                <w:bCs w:val="0"/>
                <w:i w:val="0"/>
                <w:iCs w:val="0"/>
                <w:noProof/>
                <w:sz w:val="22"/>
                <w:szCs w:val="22"/>
                <w:lang w:val="en-US"/>
              </w:rPr>
              <w:t>清代編修的方略</w:t>
            </w:r>
            <w:r w:rsidRPr="009E2717">
              <w:rPr>
                <w:rFonts w:ascii="PMingLiU" w:eastAsia="PMingLiU" w:hAnsi="PMingLiU"/>
                <w:b w:val="0"/>
                <w:bCs w:val="0"/>
                <w:i w:val="0"/>
                <w:iCs w:val="0"/>
                <w:noProof/>
                <w:webHidden/>
                <w:sz w:val="22"/>
                <w:szCs w:val="22"/>
              </w:rPr>
              <w:tab/>
            </w:r>
            <w:r w:rsidRPr="009E2717">
              <w:rPr>
                <w:rFonts w:ascii="PMingLiU" w:eastAsia="PMingLiU" w:hAnsi="PMingLiU"/>
                <w:b w:val="0"/>
                <w:bCs w:val="0"/>
                <w:i w:val="0"/>
                <w:iCs w:val="0"/>
                <w:noProof/>
                <w:webHidden/>
                <w:sz w:val="22"/>
                <w:szCs w:val="22"/>
              </w:rPr>
              <w:fldChar w:fldCharType="begin"/>
            </w:r>
            <w:r w:rsidRPr="009E2717">
              <w:rPr>
                <w:rFonts w:ascii="PMingLiU" w:eastAsia="PMingLiU" w:hAnsi="PMingLiU"/>
                <w:b w:val="0"/>
                <w:bCs w:val="0"/>
                <w:i w:val="0"/>
                <w:iCs w:val="0"/>
                <w:noProof/>
                <w:webHidden/>
                <w:sz w:val="22"/>
                <w:szCs w:val="22"/>
              </w:rPr>
              <w:instrText xml:space="preserve"> PAGEREF _Toc221359235 \h </w:instrText>
            </w:r>
            <w:r w:rsidRPr="009E2717">
              <w:rPr>
                <w:rFonts w:ascii="PMingLiU" w:eastAsia="PMingLiU" w:hAnsi="PMingLiU"/>
                <w:b w:val="0"/>
                <w:bCs w:val="0"/>
                <w:i w:val="0"/>
                <w:iCs w:val="0"/>
                <w:noProof/>
                <w:webHidden/>
                <w:sz w:val="22"/>
                <w:szCs w:val="22"/>
              </w:rPr>
            </w:r>
            <w:r w:rsidRPr="009E2717">
              <w:rPr>
                <w:rFonts w:ascii="PMingLiU" w:eastAsia="PMingLiU" w:hAnsi="PMingLiU"/>
                <w:b w:val="0"/>
                <w:bCs w:val="0"/>
                <w:i w:val="0"/>
                <w:iCs w:val="0"/>
                <w:noProof/>
                <w:webHidden/>
                <w:sz w:val="22"/>
                <w:szCs w:val="22"/>
              </w:rPr>
              <w:fldChar w:fldCharType="separate"/>
            </w:r>
            <w:r w:rsidRPr="009E2717">
              <w:rPr>
                <w:rFonts w:ascii="PMingLiU" w:eastAsia="PMingLiU" w:hAnsi="PMingLiU"/>
                <w:b w:val="0"/>
                <w:bCs w:val="0"/>
                <w:i w:val="0"/>
                <w:iCs w:val="0"/>
                <w:noProof/>
                <w:webHidden/>
                <w:sz w:val="22"/>
                <w:szCs w:val="22"/>
              </w:rPr>
              <w:t>9</w:t>
            </w:r>
            <w:r w:rsidRPr="009E2717">
              <w:rPr>
                <w:rFonts w:ascii="PMingLiU" w:eastAsia="PMingLiU" w:hAnsi="PMingLiU"/>
                <w:b w:val="0"/>
                <w:bCs w:val="0"/>
                <w:i w:val="0"/>
                <w:iCs w:val="0"/>
                <w:noProof/>
                <w:webHidden/>
                <w:sz w:val="22"/>
                <w:szCs w:val="22"/>
              </w:rPr>
              <w:fldChar w:fldCharType="end"/>
            </w:r>
          </w:hyperlink>
        </w:p>
        <w:p w14:paraId="47A14BFC" w14:textId="17FB58EA" w:rsidR="00370634" w:rsidRPr="009E2717" w:rsidRDefault="00370634" w:rsidP="00095109">
          <w:pPr>
            <w:pStyle w:val="TOC1"/>
            <w:tabs>
              <w:tab w:val="right" w:leader="dot" w:pos="11170"/>
            </w:tabs>
            <w:spacing w:before="0" w:line="360" w:lineRule="auto"/>
            <w:jc w:val="both"/>
            <w:rPr>
              <w:rFonts w:ascii="PMingLiU" w:eastAsia="PMingLiU" w:hAnsi="PMingLiU"/>
              <w:b w:val="0"/>
              <w:bCs w:val="0"/>
              <w:i w:val="0"/>
              <w:iCs w:val="0"/>
              <w:noProof/>
              <w:sz w:val="22"/>
              <w:szCs w:val="22"/>
            </w:rPr>
          </w:pPr>
          <w:hyperlink w:anchor="_Toc221359236" w:history="1">
            <w:r w:rsidRPr="009E2717">
              <w:rPr>
                <w:rStyle w:val="Hyperlink"/>
                <w:rFonts w:ascii="PMingLiU" w:eastAsia="PMingLiU" w:hAnsi="PMingLiU"/>
                <w:b w:val="0"/>
                <w:bCs w:val="0"/>
                <w:i w:val="0"/>
                <w:iCs w:val="0"/>
                <w:noProof/>
                <w:sz w:val="22"/>
                <w:szCs w:val="22"/>
                <w:lang w:val="en-US"/>
              </w:rPr>
              <w:t xml:space="preserve">6. </w:t>
            </w:r>
            <w:r w:rsidRPr="009E2717">
              <w:rPr>
                <w:rStyle w:val="Hyperlink"/>
                <w:rFonts w:ascii="PMingLiU" w:eastAsia="PMingLiU" w:hAnsi="PMingLiU" w:hint="eastAsia"/>
                <w:b w:val="0"/>
                <w:bCs w:val="0"/>
                <w:i w:val="0"/>
                <w:iCs w:val="0"/>
                <w:noProof/>
                <w:sz w:val="22"/>
                <w:szCs w:val="22"/>
                <w:lang w:val="en-US"/>
              </w:rPr>
              <w:t>清廷編修方略的文化意義</w:t>
            </w:r>
            <w:r w:rsidRPr="009E2717">
              <w:rPr>
                <w:rFonts w:ascii="PMingLiU" w:eastAsia="PMingLiU" w:hAnsi="PMingLiU"/>
                <w:b w:val="0"/>
                <w:bCs w:val="0"/>
                <w:i w:val="0"/>
                <w:iCs w:val="0"/>
                <w:noProof/>
                <w:webHidden/>
                <w:sz w:val="22"/>
                <w:szCs w:val="22"/>
              </w:rPr>
              <w:tab/>
            </w:r>
            <w:r w:rsidRPr="009E2717">
              <w:rPr>
                <w:rFonts w:ascii="PMingLiU" w:eastAsia="PMingLiU" w:hAnsi="PMingLiU"/>
                <w:b w:val="0"/>
                <w:bCs w:val="0"/>
                <w:i w:val="0"/>
                <w:iCs w:val="0"/>
                <w:noProof/>
                <w:webHidden/>
                <w:sz w:val="22"/>
                <w:szCs w:val="22"/>
              </w:rPr>
              <w:fldChar w:fldCharType="begin"/>
            </w:r>
            <w:r w:rsidRPr="009E2717">
              <w:rPr>
                <w:rFonts w:ascii="PMingLiU" w:eastAsia="PMingLiU" w:hAnsi="PMingLiU"/>
                <w:b w:val="0"/>
                <w:bCs w:val="0"/>
                <w:i w:val="0"/>
                <w:iCs w:val="0"/>
                <w:noProof/>
                <w:webHidden/>
                <w:sz w:val="22"/>
                <w:szCs w:val="22"/>
              </w:rPr>
              <w:instrText xml:space="preserve"> PAGEREF _Toc221359236 \h </w:instrText>
            </w:r>
            <w:r w:rsidRPr="009E2717">
              <w:rPr>
                <w:rFonts w:ascii="PMingLiU" w:eastAsia="PMingLiU" w:hAnsi="PMingLiU"/>
                <w:b w:val="0"/>
                <w:bCs w:val="0"/>
                <w:i w:val="0"/>
                <w:iCs w:val="0"/>
                <w:noProof/>
                <w:webHidden/>
                <w:sz w:val="22"/>
                <w:szCs w:val="22"/>
              </w:rPr>
            </w:r>
            <w:r w:rsidRPr="009E2717">
              <w:rPr>
                <w:rFonts w:ascii="PMingLiU" w:eastAsia="PMingLiU" w:hAnsi="PMingLiU"/>
                <w:b w:val="0"/>
                <w:bCs w:val="0"/>
                <w:i w:val="0"/>
                <w:iCs w:val="0"/>
                <w:noProof/>
                <w:webHidden/>
                <w:sz w:val="22"/>
                <w:szCs w:val="22"/>
              </w:rPr>
              <w:fldChar w:fldCharType="separate"/>
            </w:r>
            <w:r w:rsidRPr="009E2717">
              <w:rPr>
                <w:rFonts w:ascii="PMingLiU" w:eastAsia="PMingLiU" w:hAnsi="PMingLiU"/>
                <w:b w:val="0"/>
                <w:bCs w:val="0"/>
                <w:i w:val="0"/>
                <w:iCs w:val="0"/>
                <w:noProof/>
                <w:webHidden/>
                <w:sz w:val="22"/>
                <w:szCs w:val="22"/>
              </w:rPr>
              <w:t>13</w:t>
            </w:r>
            <w:r w:rsidRPr="009E2717">
              <w:rPr>
                <w:rFonts w:ascii="PMingLiU" w:eastAsia="PMingLiU" w:hAnsi="PMingLiU"/>
                <w:b w:val="0"/>
                <w:bCs w:val="0"/>
                <w:i w:val="0"/>
                <w:iCs w:val="0"/>
                <w:noProof/>
                <w:webHidden/>
                <w:sz w:val="22"/>
                <w:szCs w:val="22"/>
              </w:rPr>
              <w:fldChar w:fldCharType="end"/>
            </w:r>
          </w:hyperlink>
        </w:p>
        <w:p w14:paraId="11ECCCF4" w14:textId="204342D0" w:rsidR="00370634" w:rsidRPr="009E2717" w:rsidRDefault="00370634" w:rsidP="00095109">
          <w:pPr>
            <w:pStyle w:val="TOC1"/>
            <w:tabs>
              <w:tab w:val="right" w:leader="dot" w:pos="11170"/>
            </w:tabs>
            <w:spacing w:before="0" w:line="360" w:lineRule="auto"/>
            <w:jc w:val="both"/>
            <w:rPr>
              <w:rFonts w:ascii="PMingLiU" w:eastAsia="PMingLiU" w:hAnsi="PMingLiU"/>
              <w:b w:val="0"/>
              <w:bCs w:val="0"/>
              <w:i w:val="0"/>
              <w:iCs w:val="0"/>
              <w:noProof/>
              <w:sz w:val="22"/>
              <w:szCs w:val="22"/>
            </w:rPr>
          </w:pPr>
          <w:hyperlink w:anchor="_Toc221359237" w:history="1">
            <w:r w:rsidRPr="009E2717">
              <w:rPr>
                <w:rStyle w:val="Hyperlink"/>
                <w:rFonts w:ascii="PMingLiU" w:eastAsia="PMingLiU" w:hAnsi="PMingLiU"/>
                <w:b w:val="0"/>
                <w:bCs w:val="0"/>
                <w:i w:val="0"/>
                <w:iCs w:val="0"/>
                <w:noProof/>
                <w:sz w:val="22"/>
                <w:szCs w:val="22"/>
                <w:lang w:val="en-US"/>
              </w:rPr>
              <w:t xml:space="preserve">7. </w:t>
            </w:r>
            <w:r w:rsidRPr="009E2717">
              <w:rPr>
                <w:rStyle w:val="Hyperlink"/>
                <w:rFonts w:ascii="PMingLiU" w:eastAsia="PMingLiU" w:hAnsi="PMingLiU" w:hint="eastAsia"/>
                <w:b w:val="0"/>
                <w:bCs w:val="0"/>
                <w:i w:val="0"/>
                <w:iCs w:val="0"/>
                <w:noProof/>
                <w:sz w:val="22"/>
                <w:szCs w:val="22"/>
                <w:lang w:val="en-US"/>
              </w:rPr>
              <w:t>方略的史料價值</w:t>
            </w:r>
            <w:r w:rsidRPr="009E2717">
              <w:rPr>
                <w:rFonts w:ascii="PMingLiU" w:eastAsia="PMingLiU" w:hAnsi="PMingLiU"/>
                <w:b w:val="0"/>
                <w:bCs w:val="0"/>
                <w:i w:val="0"/>
                <w:iCs w:val="0"/>
                <w:noProof/>
                <w:webHidden/>
                <w:sz w:val="22"/>
                <w:szCs w:val="22"/>
              </w:rPr>
              <w:tab/>
            </w:r>
            <w:r w:rsidRPr="009E2717">
              <w:rPr>
                <w:rFonts w:ascii="PMingLiU" w:eastAsia="PMingLiU" w:hAnsi="PMingLiU"/>
                <w:b w:val="0"/>
                <w:bCs w:val="0"/>
                <w:i w:val="0"/>
                <w:iCs w:val="0"/>
                <w:noProof/>
                <w:webHidden/>
                <w:sz w:val="22"/>
                <w:szCs w:val="22"/>
              </w:rPr>
              <w:fldChar w:fldCharType="begin"/>
            </w:r>
            <w:r w:rsidRPr="009E2717">
              <w:rPr>
                <w:rFonts w:ascii="PMingLiU" w:eastAsia="PMingLiU" w:hAnsi="PMingLiU"/>
                <w:b w:val="0"/>
                <w:bCs w:val="0"/>
                <w:i w:val="0"/>
                <w:iCs w:val="0"/>
                <w:noProof/>
                <w:webHidden/>
                <w:sz w:val="22"/>
                <w:szCs w:val="22"/>
              </w:rPr>
              <w:instrText xml:space="preserve"> PAGEREF _Toc221359237 \h </w:instrText>
            </w:r>
            <w:r w:rsidRPr="009E2717">
              <w:rPr>
                <w:rFonts w:ascii="PMingLiU" w:eastAsia="PMingLiU" w:hAnsi="PMingLiU"/>
                <w:b w:val="0"/>
                <w:bCs w:val="0"/>
                <w:i w:val="0"/>
                <w:iCs w:val="0"/>
                <w:noProof/>
                <w:webHidden/>
                <w:sz w:val="22"/>
                <w:szCs w:val="22"/>
              </w:rPr>
            </w:r>
            <w:r w:rsidRPr="009E2717">
              <w:rPr>
                <w:rFonts w:ascii="PMingLiU" w:eastAsia="PMingLiU" w:hAnsi="PMingLiU"/>
                <w:b w:val="0"/>
                <w:bCs w:val="0"/>
                <w:i w:val="0"/>
                <w:iCs w:val="0"/>
                <w:noProof/>
                <w:webHidden/>
                <w:sz w:val="22"/>
                <w:szCs w:val="22"/>
              </w:rPr>
              <w:fldChar w:fldCharType="separate"/>
            </w:r>
            <w:r w:rsidRPr="009E2717">
              <w:rPr>
                <w:rFonts w:ascii="PMingLiU" w:eastAsia="PMingLiU" w:hAnsi="PMingLiU"/>
                <w:b w:val="0"/>
                <w:bCs w:val="0"/>
                <w:i w:val="0"/>
                <w:iCs w:val="0"/>
                <w:noProof/>
                <w:webHidden/>
                <w:sz w:val="22"/>
                <w:szCs w:val="22"/>
              </w:rPr>
              <w:t>16</w:t>
            </w:r>
            <w:r w:rsidRPr="009E2717">
              <w:rPr>
                <w:rFonts w:ascii="PMingLiU" w:eastAsia="PMingLiU" w:hAnsi="PMingLiU"/>
                <w:b w:val="0"/>
                <w:bCs w:val="0"/>
                <w:i w:val="0"/>
                <w:iCs w:val="0"/>
                <w:noProof/>
                <w:webHidden/>
                <w:sz w:val="22"/>
                <w:szCs w:val="22"/>
              </w:rPr>
              <w:fldChar w:fldCharType="end"/>
            </w:r>
          </w:hyperlink>
        </w:p>
        <w:p w14:paraId="447F6E47" w14:textId="3C1652F6" w:rsidR="00370634" w:rsidRPr="009E2717" w:rsidRDefault="00370634" w:rsidP="00095109">
          <w:pPr>
            <w:pStyle w:val="TOC1"/>
            <w:tabs>
              <w:tab w:val="right" w:leader="dot" w:pos="11170"/>
            </w:tabs>
            <w:spacing w:before="0" w:line="360" w:lineRule="auto"/>
            <w:jc w:val="both"/>
            <w:rPr>
              <w:rFonts w:ascii="PMingLiU" w:eastAsia="PMingLiU" w:hAnsi="PMingLiU"/>
              <w:b w:val="0"/>
              <w:bCs w:val="0"/>
              <w:i w:val="0"/>
              <w:iCs w:val="0"/>
              <w:noProof/>
              <w:sz w:val="22"/>
              <w:szCs w:val="22"/>
            </w:rPr>
          </w:pPr>
          <w:hyperlink w:anchor="_Toc221359238" w:history="1">
            <w:r w:rsidRPr="009E2717">
              <w:rPr>
                <w:rStyle w:val="Hyperlink"/>
                <w:rFonts w:ascii="PMingLiU" w:eastAsia="PMingLiU" w:hAnsi="PMingLiU"/>
                <w:b w:val="0"/>
                <w:bCs w:val="0"/>
                <w:i w:val="0"/>
                <w:iCs w:val="0"/>
                <w:noProof/>
                <w:sz w:val="22"/>
                <w:szCs w:val="22"/>
                <w:lang w:val="en-US"/>
              </w:rPr>
              <w:t xml:space="preserve">8. </w:t>
            </w:r>
            <w:r w:rsidRPr="009E2717">
              <w:rPr>
                <w:rStyle w:val="Hyperlink"/>
                <w:rFonts w:ascii="PMingLiU" w:eastAsia="PMingLiU" w:hAnsi="PMingLiU" w:hint="eastAsia"/>
                <w:b w:val="0"/>
                <w:bCs w:val="0"/>
                <w:i w:val="0"/>
                <w:iCs w:val="0"/>
                <w:noProof/>
                <w:sz w:val="22"/>
                <w:szCs w:val="22"/>
                <w:lang w:val="en-US"/>
              </w:rPr>
              <w:t>清代學者對方略的利用</w:t>
            </w:r>
            <w:r w:rsidRPr="009E2717">
              <w:rPr>
                <w:rFonts w:ascii="PMingLiU" w:eastAsia="PMingLiU" w:hAnsi="PMingLiU"/>
                <w:b w:val="0"/>
                <w:bCs w:val="0"/>
                <w:i w:val="0"/>
                <w:iCs w:val="0"/>
                <w:noProof/>
                <w:webHidden/>
                <w:sz w:val="22"/>
                <w:szCs w:val="22"/>
              </w:rPr>
              <w:tab/>
            </w:r>
            <w:r w:rsidRPr="009E2717">
              <w:rPr>
                <w:rFonts w:ascii="PMingLiU" w:eastAsia="PMingLiU" w:hAnsi="PMingLiU"/>
                <w:b w:val="0"/>
                <w:bCs w:val="0"/>
                <w:i w:val="0"/>
                <w:iCs w:val="0"/>
                <w:noProof/>
                <w:webHidden/>
                <w:sz w:val="22"/>
                <w:szCs w:val="22"/>
              </w:rPr>
              <w:fldChar w:fldCharType="begin"/>
            </w:r>
            <w:r w:rsidRPr="009E2717">
              <w:rPr>
                <w:rFonts w:ascii="PMingLiU" w:eastAsia="PMingLiU" w:hAnsi="PMingLiU"/>
                <w:b w:val="0"/>
                <w:bCs w:val="0"/>
                <w:i w:val="0"/>
                <w:iCs w:val="0"/>
                <w:noProof/>
                <w:webHidden/>
                <w:sz w:val="22"/>
                <w:szCs w:val="22"/>
              </w:rPr>
              <w:instrText xml:space="preserve"> PAGEREF _Toc221359238 \h </w:instrText>
            </w:r>
            <w:r w:rsidRPr="009E2717">
              <w:rPr>
                <w:rFonts w:ascii="PMingLiU" w:eastAsia="PMingLiU" w:hAnsi="PMingLiU"/>
                <w:b w:val="0"/>
                <w:bCs w:val="0"/>
                <w:i w:val="0"/>
                <w:iCs w:val="0"/>
                <w:noProof/>
                <w:webHidden/>
                <w:sz w:val="22"/>
                <w:szCs w:val="22"/>
              </w:rPr>
            </w:r>
            <w:r w:rsidRPr="009E2717">
              <w:rPr>
                <w:rFonts w:ascii="PMingLiU" w:eastAsia="PMingLiU" w:hAnsi="PMingLiU"/>
                <w:b w:val="0"/>
                <w:bCs w:val="0"/>
                <w:i w:val="0"/>
                <w:iCs w:val="0"/>
                <w:noProof/>
                <w:webHidden/>
                <w:sz w:val="22"/>
                <w:szCs w:val="22"/>
              </w:rPr>
              <w:fldChar w:fldCharType="separate"/>
            </w:r>
            <w:r w:rsidRPr="009E2717">
              <w:rPr>
                <w:rFonts w:ascii="PMingLiU" w:eastAsia="PMingLiU" w:hAnsi="PMingLiU"/>
                <w:b w:val="0"/>
                <w:bCs w:val="0"/>
                <w:i w:val="0"/>
                <w:iCs w:val="0"/>
                <w:noProof/>
                <w:webHidden/>
                <w:sz w:val="22"/>
                <w:szCs w:val="22"/>
              </w:rPr>
              <w:t>19</w:t>
            </w:r>
            <w:r w:rsidRPr="009E2717">
              <w:rPr>
                <w:rFonts w:ascii="PMingLiU" w:eastAsia="PMingLiU" w:hAnsi="PMingLiU"/>
                <w:b w:val="0"/>
                <w:bCs w:val="0"/>
                <w:i w:val="0"/>
                <w:iCs w:val="0"/>
                <w:noProof/>
                <w:webHidden/>
                <w:sz w:val="22"/>
                <w:szCs w:val="22"/>
              </w:rPr>
              <w:fldChar w:fldCharType="end"/>
            </w:r>
          </w:hyperlink>
        </w:p>
        <w:p w14:paraId="094C878E" w14:textId="3F798E52" w:rsidR="00370634" w:rsidRPr="009E2717" w:rsidRDefault="00370634" w:rsidP="00095109">
          <w:pPr>
            <w:spacing w:after="0" w:line="360" w:lineRule="auto"/>
            <w:jc w:val="both"/>
            <w:rPr>
              <w:rFonts w:ascii="PMingLiU" w:eastAsia="PMingLiU" w:hAnsi="PMingLiU"/>
              <w:sz w:val="22"/>
              <w:szCs w:val="22"/>
            </w:rPr>
          </w:pPr>
          <w:r w:rsidRPr="009E2717">
            <w:rPr>
              <w:rFonts w:ascii="PMingLiU" w:eastAsia="PMingLiU" w:hAnsi="PMingLiU"/>
              <w:noProof/>
              <w:sz w:val="22"/>
              <w:szCs w:val="22"/>
            </w:rPr>
            <w:fldChar w:fldCharType="end"/>
          </w:r>
        </w:p>
      </w:sdtContent>
    </w:sdt>
    <w:p w14:paraId="3CEEB17A" w14:textId="77777777" w:rsidR="00370634" w:rsidRPr="009E2717" w:rsidRDefault="00370634" w:rsidP="00095109">
      <w:pPr>
        <w:spacing w:after="0" w:line="240" w:lineRule="auto"/>
        <w:jc w:val="both"/>
        <w:rPr>
          <w:rFonts w:ascii="PMingLiU" w:eastAsia="PMingLiU" w:hAnsi="PMingLiU" w:cstheme="majorBidi"/>
          <w:color w:val="000000" w:themeColor="text1"/>
          <w:sz w:val="22"/>
          <w:szCs w:val="22"/>
          <w:lang w:val="en-US"/>
        </w:rPr>
      </w:pPr>
      <w:r w:rsidRPr="009E2717">
        <w:rPr>
          <w:rFonts w:ascii="PMingLiU" w:eastAsia="PMingLiU" w:hAnsi="PMingLiU"/>
          <w:sz w:val="22"/>
          <w:szCs w:val="22"/>
          <w:lang w:val="en-US"/>
        </w:rPr>
        <w:br w:type="page"/>
      </w:r>
    </w:p>
    <w:p w14:paraId="34F40326" w14:textId="3AF75117" w:rsidR="00370634" w:rsidRPr="009E2717" w:rsidRDefault="00370634" w:rsidP="00095109">
      <w:pPr>
        <w:pStyle w:val="Heading1"/>
        <w:spacing w:line="240" w:lineRule="auto"/>
        <w:jc w:val="both"/>
        <w:rPr>
          <w:rFonts w:eastAsia="PMingLiU" w:hint="eastAsia"/>
          <w:sz w:val="22"/>
          <w:szCs w:val="22"/>
          <w:lang w:val="en-US"/>
        </w:rPr>
      </w:pPr>
      <w:r w:rsidRPr="009E2717">
        <w:rPr>
          <w:rFonts w:eastAsia="PMingLiU"/>
          <w:sz w:val="22"/>
          <w:szCs w:val="22"/>
          <w:lang w:val="en-US"/>
        </w:rPr>
        <w:lastRenderedPageBreak/>
        <w:tab/>
      </w:r>
      <w:bookmarkStart w:id="0" w:name="_Toc221359231"/>
      <w:r w:rsidRPr="009E2717">
        <w:rPr>
          <w:rFonts w:eastAsia="PMingLiU" w:hint="eastAsia"/>
          <w:sz w:val="22"/>
          <w:szCs w:val="22"/>
          <w:lang w:val="en-US"/>
        </w:rPr>
        <w:t>1. 「方略」意思</w:t>
      </w:r>
      <w:bookmarkEnd w:id="0"/>
    </w:p>
    <w:p w14:paraId="10298AF8"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一最早使用「方略」一詞，是戰國的思想家荀子。荀子所說的「方略」，指的是治國的方針、策略。</w:t>
      </w:r>
    </w:p>
    <w:p w14:paraId="24C50E7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36C95BFA"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5DA50BF"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漢代以來，「方略」這個詞的使用就很普遍了。從詞義上看，除了方針、策略而外，又有謀略、計劃、計謀、權謀這些含義。</w:t>
      </w:r>
    </w:p>
    <w:p w14:paraId="0358A1CE"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7A441D52"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225C98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又乾隆《平定兩金川方略序以上這些，是「方略」一詞的本義，而今仍頻繁見諸文章報刊，如治國方略、治軍方略、治校方略、用兵方略、經營方略之類。</w:t>
      </w:r>
    </w:p>
    <w:p w14:paraId="1EB1FC5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2D297DF4"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BD1BAE8"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「方略」還有指揮、處置的意思，這顯然是從它的本義衍生而來的。</w:t>
      </w:r>
    </w:p>
    <w:p w14:paraId="27FC11C7"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0C42BB50"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7718B27E"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值得注意的是，至少從宋代起，「方略」一詞，與軍事戰爭的書籍有所關聯了。只不過，早先多指講述戰略、戰術的兵學之書，還不是敘述戰爭過程的專史。</w:t>
      </w:r>
    </w:p>
    <w:p w14:paraId="09848217"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3B7F58A4"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F784C78"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到了清代，「方略」往往成了一個專有名詞，特指官修的紀事本末體本朝戰爭專史。顯然，清代的方略，是因「方略」一詞的本義而得名，又借用宋代以來用「方略」一詞代指兵書的說法，來給本朝的紀事本末體戰爭專史命名。</w:t>
      </w:r>
    </w:p>
    <w:p w14:paraId="651A569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3E796F4C"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3AF7B2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這就是說，清代方略是記錄軍功大政的專書，且又有「紀略」之名。</w:t>
      </w:r>
    </w:p>
    <w:p w14:paraId="0E15022E"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57016538"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B94EC42"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以「方略」名之的著作，至少在明代就有了。</w:t>
      </w:r>
    </w:p>
    <w:p w14:paraId="4B3894C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54B0EA1D"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212477C"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清朝最早建議編纂方略的，是福建首御史戴王縉。康熙二十一年（1682）八月，時值平定「三蕃」之亂不久，</w:t>
      </w:r>
    </w:p>
    <w:p w14:paraId="324D1792"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528E065E"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D97252F"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康熙採納了勒德洪的建議，還讓他人擔綱負責編纂事宜。4年後，清朝的第一部方略問世了，這就是《平定三逆方略》。</w:t>
      </w:r>
    </w:p>
    <w:p w14:paraId="1A7A382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5DC99705"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9B38D03"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hint="eastAsia"/>
          <w:sz w:val="22"/>
          <w:szCs w:val="22"/>
          <w:lang w:val="en-US"/>
        </w:rPr>
        <w:t>在清朝，這樣一個現象是很值得注意的：自《平定三逆方略》問世之日起，「方略」成了皇朝使用的專有書名，不獨私撰之作不敢題名「方略」，就連一般的官家之書也避諱用「方略」作書名。</w:t>
      </w:r>
    </w:p>
    <w:p w14:paraId="183558A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51979B3F"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402B94C8"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2F78EC7"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br w:type="page"/>
      </w:r>
    </w:p>
    <w:p w14:paraId="4E2D4521" w14:textId="399821C3" w:rsidR="00370634" w:rsidRPr="009E2717" w:rsidRDefault="00370634" w:rsidP="00095109">
      <w:pPr>
        <w:pStyle w:val="Heading1"/>
        <w:spacing w:line="240" w:lineRule="auto"/>
        <w:jc w:val="both"/>
        <w:rPr>
          <w:rFonts w:eastAsia="PMingLiU" w:hint="eastAsia"/>
          <w:sz w:val="22"/>
          <w:szCs w:val="22"/>
          <w:lang w:val="en-US"/>
        </w:rPr>
      </w:pPr>
      <w:r w:rsidRPr="009E2717">
        <w:rPr>
          <w:rFonts w:eastAsia="PMingLiU"/>
          <w:sz w:val="22"/>
          <w:szCs w:val="22"/>
          <w:lang w:val="en-US"/>
        </w:rPr>
        <w:lastRenderedPageBreak/>
        <w:tab/>
      </w:r>
      <w:bookmarkStart w:id="1" w:name="_Toc221359232"/>
      <w:r w:rsidRPr="009E2717">
        <w:rPr>
          <w:rFonts w:eastAsia="PMingLiU" w:hint="eastAsia"/>
          <w:sz w:val="22"/>
          <w:szCs w:val="22"/>
          <w:lang w:val="en-US"/>
        </w:rPr>
        <w:t>2. 方略</w:t>
      </w:r>
      <w:r w:rsidRPr="009E2717">
        <w:rPr>
          <w:rFonts w:eastAsia="PMingLiU" w:hint="eastAsia"/>
          <w:sz w:val="22"/>
          <w:szCs w:val="22"/>
          <w:lang w:val="en-US"/>
        </w:rPr>
        <w:t>作為</w:t>
      </w:r>
      <w:r w:rsidRPr="009E2717">
        <w:rPr>
          <w:rFonts w:eastAsia="PMingLiU" w:hint="eastAsia"/>
          <w:sz w:val="22"/>
          <w:szCs w:val="22"/>
          <w:lang w:val="en-US"/>
        </w:rPr>
        <w:t>史書</w:t>
      </w:r>
      <w:r w:rsidRPr="009E2717">
        <w:rPr>
          <w:rFonts w:eastAsia="PMingLiU" w:hint="eastAsia"/>
          <w:sz w:val="22"/>
          <w:szCs w:val="22"/>
          <w:lang w:val="en-US"/>
        </w:rPr>
        <w:t>體例</w:t>
      </w:r>
      <w:bookmarkEnd w:id="1"/>
    </w:p>
    <w:p w14:paraId="39C1DED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清代敕修紀略及方略等書</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主要是將諭旨及奏摺排比彙編後加以潤飾而成書</w:t>
      </w:r>
      <w:r w:rsidRPr="009E2717">
        <w:rPr>
          <w:rFonts w:ascii="PMingLiU" w:eastAsia="PMingLiU" w:hAnsi="PMingLiU" w:cs="Times New Roman"/>
          <w:sz w:val="22"/>
          <w:szCs w:val="22"/>
          <w:lang w:val="en-US"/>
        </w:rPr>
        <w:t>，</w:t>
      </w:r>
    </w:p>
    <w:p w14:paraId="5D8F1F32"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莊吉發，故宮檔案述要，1983，國立</w:t>
      </w:r>
      <w:r w:rsidRPr="009E2717">
        <w:rPr>
          <w:rFonts w:ascii="PMingLiU" w:eastAsia="PMingLiU" w:hAnsi="PMingLiU" w:cs="Times New Roman" w:hint="eastAsia"/>
          <w:sz w:val="22"/>
          <w:szCs w:val="22"/>
          <w:lang w:val="en-US"/>
        </w:rPr>
        <w:t>故宮博物院</w:t>
      </w:r>
    </w:p>
    <w:p w14:paraId="56AC9E60"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3744A13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摘要《方略》書是清代特有的紀事本末體史書。《欽定方略》則是由衆多大臣依據檔案編纂並且經過皇帝親自審閱後方可批准刊印的具有官方性質的史書，此類書籍大多記述某一戰爭的起因、經過與善後，按照時間順序逐一將重要的諭旨及官員上書合理編排，彙集成冊，頒行天下。</w:t>
      </w:r>
    </w:p>
    <w:p w14:paraId="5EE99ABD"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42E223BF"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78821D1E"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1. 清代官修史書</w:t>
      </w:r>
    </w:p>
    <w:p w14:paraId="32A3F3B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所謂方略，滿文稱</w:t>
      </w:r>
      <w:proofErr w:type="spellStart"/>
      <w:r w:rsidRPr="009E2717">
        <w:rPr>
          <w:rFonts w:ascii="PMingLiU" w:eastAsia="PMingLiU" w:hAnsi="PMingLiU" w:cs="Times New Roman" w:hint="eastAsia"/>
          <w:sz w:val="22"/>
          <w:szCs w:val="22"/>
        </w:rPr>
        <w:t>bodogonibithe</w:t>
      </w:r>
      <w:proofErr w:type="spellEnd"/>
      <w:r w:rsidRPr="009E2717">
        <w:rPr>
          <w:rFonts w:ascii="PMingLiU" w:eastAsia="PMingLiU" w:hAnsi="PMingLiU" w:cs="Times New Roman" w:hint="eastAsia"/>
          <w:sz w:val="22"/>
          <w:szCs w:val="22"/>
        </w:rPr>
        <w:t>，係清朝官修史書之文類，主要記載重大戰事原委，屬中國傳統史學之紀事本末體。</w:t>
      </w:r>
    </w:p>
    <w:p w14:paraId="56C9C25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《平定海寇方略》滿漢文本對勘．孔令偉</w:t>
      </w:r>
      <w:r w:rsidRPr="009E2717">
        <w:rPr>
          <w:rFonts w:ascii="PMingLiU" w:eastAsia="PMingLiU" w:hAnsi="PMingLiU" w:cs="Times New Roman" w:hint="eastAsia"/>
          <w:sz w:val="22"/>
          <w:szCs w:val="22"/>
          <w:highlight w:val="yellow"/>
          <w:lang w:val="en-US"/>
        </w:rPr>
        <w:t>，</w:t>
      </w:r>
      <w:r w:rsidRPr="009E2717">
        <w:rPr>
          <w:rFonts w:ascii="PMingLiU" w:eastAsia="PMingLiU" w:hAnsi="PMingLiU" w:cs="Times New Roman" w:hint="eastAsia"/>
          <w:sz w:val="22"/>
          <w:szCs w:val="22"/>
          <w:highlight w:val="yellow"/>
        </w:rPr>
        <w:t>古今論衡，</w:t>
      </w:r>
      <w:r w:rsidRPr="009E2717">
        <w:rPr>
          <w:rFonts w:ascii="PMingLiU" w:eastAsia="PMingLiU" w:hAnsi="PMingLiU" w:cs="Times New Roman"/>
          <w:sz w:val="22"/>
          <w:szCs w:val="22"/>
          <w:highlight w:val="yellow"/>
        </w:rPr>
        <w:t>2023.12</w:t>
      </w:r>
      <w:r w:rsidRPr="009E2717">
        <w:rPr>
          <w:rFonts w:ascii="PMingLiU" w:eastAsia="PMingLiU" w:hAnsi="PMingLiU" w:cs="Times New Roman" w:hint="eastAsia"/>
          <w:sz w:val="22"/>
          <w:szCs w:val="22"/>
          <w:highlight w:val="yellow"/>
        </w:rPr>
        <w:t>第</w:t>
      </w:r>
      <w:r w:rsidRPr="009E2717">
        <w:rPr>
          <w:rFonts w:ascii="PMingLiU" w:eastAsia="PMingLiU" w:hAnsi="PMingLiU" w:cs="Times New Roman" w:hint="eastAsia"/>
          <w:sz w:val="22"/>
          <w:szCs w:val="22"/>
        </w:rPr>
        <w:t>41期</w:t>
      </w:r>
    </w:p>
    <w:p w14:paraId="153278E7"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4C54E6D9"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2. 紀事本末體史書</w:t>
      </w:r>
    </w:p>
    <w:p w14:paraId="7028DDC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作爲史書體裁的一種，紀事本末體出現較晚，宋代纔開始嶄露頭角，至清代則大量湧現，無論在官方還是民間，紀事本末體史書的撰寫己然形成了一股風潮。</w:t>
      </w:r>
    </w:p>
    <w:p w14:paraId="6AD04DE4"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54490BC1"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154C28F"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紀事本末體史書則爲後出，其特點爲以時間爲經，記述某重大歷史事件的來龍去脈，條理明晰，易於閱讀，代表作爲《通鑑紀事本末》、《宋史紀事本末》、清代的《方略》書等。</w:t>
      </w:r>
    </w:p>
    <w:p w14:paraId="7BB89A7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740A17F3" w14:textId="77777777" w:rsidR="00370634" w:rsidRPr="009E2717" w:rsidRDefault="00370634" w:rsidP="00095109">
      <w:pPr>
        <w:spacing w:after="0" w:line="240" w:lineRule="auto"/>
        <w:jc w:val="both"/>
        <w:rPr>
          <w:rFonts w:ascii="PMingLiU" w:eastAsia="PMingLiU" w:hAnsi="PMingLiU" w:cs="Times New Roman"/>
          <w:sz w:val="22"/>
          <w:szCs w:val="22"/>
        </w:rPr>
      </w:pPr>
    </w:p>
    <w:p w14:paraId="4245ADF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紀事本末類書籍又分爲朝代紀事本末和專史紀事本末兩大類，？其中《宋史紀事本末》、《明史紀事本末》等書爲朝代紀事本末類書籍，清代官方所修之《方略》書則屬於專史紀事本末類史籍。</w:t>
      </w:r>
    </w:p>
    <w:p w14:paraId="062F3A0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5CD267A6" w14:textId="77777777" w:rsidR="00370634" w:rsidRPr="009E2717" w:rsidRDefault="00370634" w:rsidP="00095109">
      <w:pPr>
        <w:spacing w:after="0" w:line="240" w:lineRule="auto"/>
        <w:jc w:val="both"/>
        <w:rPr>
          <w:rFonts w:ascii="PMingLiU" w:eastAsia="PMingLiU" w:hAnsi="PMingLiU" w:cs="Times New Roman"/>
          <w:sz w:val="22"/>
          <w:szCs w:val="22"/>
        </w:rPr>
      </w:pPr>
    </w:p>
    <w:p w14:paraId="0EDF393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br w:type="page"/>
      </w:r>
    </w:p>
    <w:p w14:paraId="24A32B75" w14:textId="77777777" w:rsidR="00370634" w:rsidRPr="009E2717" w:rsidRDefault="00370634" w:rsidP="00095109">
      <w:pPr>
        <w:pStyle w:val="Heading1"/>
        <w:spacing w:line="240" w:lineRule="auto"/>
        <w:jc w:val="both"/>
        <w:rPr>
          <w:rFonts w:eastAsia="PMingLiU"/>
          <w:sz w:val="22"/>
          <w:szCs w:val="22"/>
          <w:lang w:val="en-US"/>
        </w:rPr>
      </w:pPr>
      <w:r w:rsidRPr="009E2717">
        <w:rPr>
          <w:rFonts w:eastAsia="PMingLiU"/>
          <w:sz w:val="22"/>
          <w:szCs w:val="22"/>
          <w:lang w:val="en-US"/>
        </w:rPr>
        <w:lastRenderedPageBreak/>
        <w:tab/>
      </w:r>
      <w:bookmarkStart w:id="2" w:name="_Toc221359233"/>
      <w:r w:rsidRPr="009E2717">
        <w:rPr>
          <w:rFonts w:eastAsia="PMingLiU" w:hint="eastAsia"/>
          <w:sz w:val="22"/>
          <w:szCs w:val="22"/>
          <w:lang w:val="en-US"/>
        </w:rPr>
        <w:t>3. 清廷編修方略</w:t>
      </w:r>
      <w:bookmarkEnd w:id="2"/>
    </w:p>
    <w:p w14:paraId="22C6E2A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清康熙二十一年（１６８２）設方略館，至乾隆十四年（１７４９）始成固定機構，與國史館並立，每次</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軍功告蕆</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，即纂修《方略》或《紀略》，大多是誇耀武功與宣揚統治政令。</w:t>
      </w:r>
    </w:p>
    <w:p w14:paraId="42F0D3A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2BF4FBCC" w14:textId="77777777" w:rsidR="00370634" w:rsidRPr="009E2717" w:rsidRDefault="00370634" w:rsidP="00095109">
      <w:pPr>
        <w:spacing w:after="0" w:line="240" w:lineRule="auto"/>
        <w:jc w:val="both"/>
        <w:rPr>
          <w:rFonts w:ascii="PMingLiU" w:eastAsia="PMingLiU" w:hAnsi="PMingLiU" w:cs="Times New Roman" w:hint="eastAsia"/>
          <w:sz w:val="22"/>
          <w:szCs w:val="22"/>
        </w:rPr>
      </w:pPr>
    </w:p>
    <w:p w14:paraId="706C8F2F"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1. 始於康熙二十一年（1682）三藩之亂平定後</w:t>
      </w:r>
    </w:p>
    <w:p w14:paraId="0FBDE24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清代方略的編纂，始於平定三藩事。康熙二十一年（1682）三藩之亂平定後，福建道御史戴王縉疏言：「凡係用兵詔命，密旨征剿機宜，並應編輯成書，以垂不朽」。唃大學士明珠等復奏稱三藩之亂平定，「皆皇上神明獨運，指授方略所致，若不纂輯成書，恐鴻功偉績，或有遺漏」。唋康熙帝因此下令編輯《平定三逆方略》，開有清一代修纂方略之濫觴。</w:t>
      </w:r>
    </w:p>
    <w:p w14:paraId="029DABE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《平定海寇方略》滿漢文本對勘．孔令偉</w:t>
      </w:r>
      <w:r w:rsidRPr="009E2717">
        <w:rPr>
          <w:rFonts w:ascii="PMingLiU" w:eastAsia="PMingLiU" w:hAnsi="PMingLiU" w:cs="Times New Roman" w:hint="eastAsia"/>
          <w:sz w:val="22"/>
          <w:szCs w:val="22"/>
          <w:highlight w:val="yellow"/>
          <w:lang w:val="en-US"/>
        </w:rPr>
        <w:t>，</w:t>
      </w:r>
      <w:r w:rsidRPr="009E2717">
        <w:rPr>
          <w:rFonts w:ascii="PMingLiU" w:eastAsia="PMingLiU" w:hAnsi="PMingLiU" w:cs="Times New Roman" w:hint="eastAsia"/>
          <w:sz w:val="22"/>
          <w:szCs w:val="22"/>
          <w:highlight w:val="yellow"/>
        </w:rPr>
        <w:t>古今論衡，</w:t>
      </w:r>
      <w:r w:rsidRPr="009E2717">
        <w:rPr>
          <w:rFonts w:ascii="PMingLiU" w:eastAsia="PMingLiU" w:hAnsi="PMingLiU" w:cs="Times New Roman"/>
          <w:sz w:val="22"/>
          <w:szCs w:val="22"/>
          <w:highlight w:val="yellow"/>
        </w:rPr>
        <w:t>2023.12</w:t>
      </w:r>
      <w:r w:rsidRPr="009E2717">
        <w:rPr>
          <w:rFonts w:ascii="PMingLiU" w:eastAsia="PMingLiU" w:hAnsi="PMingLiU" w:cs="Times New Roman" w:hint="eastAsia"/>
          <w:sz w:val="22"/>
          <w:szCs w:val="22"/>
          <w:highlight w:val="yellow"/>
        </w:rPr>
        <w:t>第</w:t>
      </w:r>
      <w:r w:rsidRPr="009E2717">
        <w:rPr>
          <w:rFonts w:ascii="PMingLiU" w:eastAsia="PMingLiU" w:hAnsi="PMingLiU" w:cs="Times New Roman" w:hint="eastAsia"/>
          <w:sz w:val="22"/>
          <w:szCs w:val="22"/>
        </w:rPr>
        <w:t>41期</w:t>
      </w:r>
    </w:p>
    <w:p w14:paraId="75D8CA61"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8D8E90C"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2. 方略館非定制</w:t>
      </w:r>
    </w:p>
    <w:p w14:paraId="54713AD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勒德洪等人奉救編纂，四年後成《平定三逆方略》六十卷，是爲清代第一部官修《方略》。康熙、雍正兩朝，《方略》一直有人在編，但並沒有固定的編纂制度，每每是書成人散。</w:t>
      </w:r>
    </w:p>
    <w:p w14:paraId="16EC116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796412C0" w14:textId="77777777" w:rsidR="00370634" w:rsidRPr="009E2717" w:rsidRDefault="00370634" w:rsidP="00095109">
      <w:pPr>
        <w:spacing w:after="0" w:line="240" w:lineRule="auto"/>
        <w:jc w:val="both"/>
        <w:rPr>
          <w:rFonts w:ascii="PMingLiU" w:eastAsia="PMingLiU" w:hAnsi="PMingLiU" w:cs="Times New Roman"/>
          <w:sz w:val="22"/>
          <w:szCs w:val="22"/>
        </w:rPr>
      </w:pPr>
    </w:p>
    <w:p w14:paraId="0F303F6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清代各《方略》的撰寫，是由方略館組織的，根據前輩學者的研宄，方略館於康熙二十一年（１６８２）成立，且於乾隆十四年（１７４９）成爲常設機構</w:t>
      </w:r>
    </w:p>
    <w:p w14:paraId="48FCD1E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260D0D9E"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DD02E8E"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今查《清聖祖實錄》、《大清會典（康熙朝）》等書，沒有明確說明方略館的確切開館時間，甚至連「方略館」這個機構都沒有記錄。</w:t>
      </w:r>
    </w:p>
    <w:p w14:paraId="1696D45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335D6793" w14:textId="77777777" w:rsidR="00370634" w:rsidRPr="009E2717" w:rsidRDefault="00370634" w:rsidP="00095109">
      <w:pPr>
        <w:spacing w:after="0" w:line="240" w:lineRule="auto"/>
        <w:jc w:val="both"/>
        <w:rPr>
          <w:rFonts w:ascii="PMingLiU" w:eastAsia="PMingLiU" w:hAnsi="PMingLiU" w:cs="Times New Roman"/>
          <w:sz w:val="22"/>
          <w:szCs w:val="22"/>
        </w:rPr>
      </w:pPr>
    </w:p>
    <w:p w14:paraId="215B34F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由此觀之，在撰寫《平定三逆方略》時，清代很可能還沒有方略館這一機構，這類史書由內國史院負責具體編纂工作，在撰寫過程中愈發覺得需要設立專職機構負責《方略》的書寫事宜，於是便有了方略館。</w:t>
      </w:r>
    </w:p>
    <w:p w14:paraId="430AC06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0E848B90"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0DEAB9C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可能是因爲此館並非重要的常設機構，所以未能出現在康熙朝編纂的《大清會典》之中。依據現有史料來看，方略館的具體設置時間尚無法確定，只能說方略館的第一次設置時間不晚於康熙二十六年（１６８７）。</w:t>
      </w:r>
    </w:p>
    <w:p w14:paraId="00E4DB9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66C7CA7F" w14:textId="77777777" w:rsidR="00370634" w:rsidRPr="009E2717" w:rsidRDefault="00370634" w:rsidP="00095109">
      <w:pPr>
        <w:spacing w:after="0" w:line="240" w:lineRule="auto"/>
        <w:jc w:val="both"/>
        <w:rPr>
          <w:rFonts w:ascii="PMingLiU" w:eastAsia="PMingLiU" w:hAnsi="PMingLiU" w:cs="Times New Roman"/>
          <w:sz w:val="22"/>
          <w:szCs w:val="22"/>
        </w:rPr>
      </w:pPr>
    </w:p>
    <w:p w14:paraId="19B06A4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hint="eastAsia"/>
          <w:sz w:val="22"/>
          <w:szCs w:val="22"/>
        </w:rPr>
        <w:t xml:space="preserve">3. </w:t>
      </w:r>
      <w:r w:rsidRPr="009E2717">
        <w:rPr>
          <w:rFonts w:ascii="PMingLiU" w:eastAsia="PMingLiU" w:hAnsi="PMingLiU" w:cs="Times New Roman" w:hint="eastAsia"/>
          <w:sz w:val="22"/>
          <w:szCs w:val="22"/>
          <w:lang w:val="en-US"/>
        </w:rPr>
        <w:t>乾隆十四年，編《平定金川方略》，方略館成定制</w:t>
      </w:r>
    </w:p>
    <w:p w14:paraId="1FE988DF"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D34A88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1. 方略館成定制</w:t>
      </w:r>
    </w:p>
    <w:p w14:paraId="4831405E"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方略館於乾隆十四年（１７４９）常設，並屬軍機處管轄，方略館的總裁也由軍機大臣兼充。＠</w:t>
      </w:r>
    </w:p>
    <w:p w14:paraId="247F386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3FA2C019" w14:textId="77777777" w:rsidR="00370634" w:rsidRPr="009E2717" w:rsidRDefault="00370634" w:rsidP="00095109">
      <w:pPr>
        <w:spacing w:after="0" w:line="240" w:lineRule="auto"/>
        <w:jc w:val="both"/>
        <w:rPr>
          <w:rFonts w:ascii="PMingLiU" w:eastAsia="PMingLiU" w:hAnsi="PMingLiU" w:cs="Times New Roman" w:hint="eastAsia"/>
          <w:sz w:val="22"/>
          <w:szCs w:val="22"/>
        </w:rPr>
      </w:pPr>
    </w:p>
    <w:p w14:paraId="61B0574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直至乾隆十四年年，軍機大臣、大學士來保等人奉救編纂《平定金川方略》，詔準於隆宗門外、武英殿後、鹹安宮左設方略館。至此，方略館遂成常設修史機構，延至清末，前後實際存在了一百六十二年。</w:t>
      </w:r>
    </w:p>
    <w:p w14:paraId="4510EA4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34F78094"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60C73C0"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2. 方略館官員</w:t>
      </w:r>
    </w:p>
    <w:p w14:paraId="76C15940"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館設總裁一人，下設提調、收掌、總纂、纂修、協修、譯漢、總校、校對、詳校、承發、供事各員。總裁由軍機大臣兼領，提調、收掌滿漢各二人，纂修滿三人，漢六人。這當中，除漢纂修一人由翰林院諮送補充外，方略館大多數官員，則仍由軍機章京兼任。①</w:t>
      </w:r>
    </w:p>
    <w:p w14:paraId="7289D78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2D1EF3E5"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77F7089"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3. 方略館＝軍機處的附屬機構</w:t>
      </w:r>
    </w:p>
    <w:p w14:paraId="0F0CF12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事實上，方略館成了軍機處的附屬機構。方略館下設三處兩庫文移處、纂修處、校對處、書庫和大庫檔案庫。方略館的館址，與隆宗門內的軍機處，差不多隻一牆之隔。</w:t>
      </w:r>
    </w:p>
    <w:p w14:paraId="7E8CB75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776271B3"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6B0CBD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lastRenderedPageBreak/>
        <w:t>據《樞曹追憶》除三處兩庫外，方略館另有房三間，中爲飯廳，東西屋爲臥室。平日裏，方略館就是軍機官員們的活動場所。例如軍機大臣等候上朝、臨時加餐、午休夜值，均在方略館。②</w:t>
      </w:r>
    </w:p>
    <w:p w14:paraId="17892C5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047787D0"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78A1E77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方略館與軍機處的這種岔切關係，與雍正以來的國內軍事形勢緊密相關。軍機處一直是重大軍事行動的決策機構，有關軍國大事的詔令、諭旨、奏摺、疏議，則畢集於方略館。軍機官員熟知事情原委、本末和細節，加之方略館豐富詳實的檔案收藏，爲《方略》的編纂創造了便利的條件。由親歷戰事的大臣和軍機官員，而非國史館的專職史官來編纂《方略》，就成了十分自然的事情。用乾隆的話說，就是「若另派員，恐未能深悉。</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③</w:t>
      </w:r>
    </w:p>
    <w:p w14:paraId="763A97B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40DAA071" w14:textId="77777777" w:rsidR="00370634" w:rsidRPr="009E2717" w:rsidRDefault="00370634" w:rsidP="00095109">
      <w:pPr>
        <w:spacing w:after="0" w:line="240" w:lineRule="auto"/>
        <w:jc w:val="both"/>
        <w:rPr>
          <w:rFonts w:ascii="PMingLiU" w:eastAsia="PMingLiU" w:hAnsi="PMingLiU" w:cs="Times New Roman"/>
          <w:sz w:val="22"/>
          <w:szCs w:val="22"/>
        </w:rPr>
      </w:pPr>
    </w:p>
    <w:p w14:paraId="1E49F6F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在清代每次戰事結束後，均留有大量的有關此次戰事的奏摺，此類奏摺待皇帝親自批閱後，便封存在特定的場所成爲檔案，以便事後查閱參考，這些檔案便是編寫《方略》書的史料來源。康熙年間，有關戰事的檔案貯藏在內閣大庫之中。？自雍正年間軍機處成立之後，有關西北戰事的檔案資料便收歸軍機處所有。？軍機處的下轄機關便有方略館，方略館是爲編纂《方略》書而專設的機構，清廷經略西北的重要檔案材料也貯藏在方略館之中。</w:t>
      </w:r>
    </w:p>
    <w:p w14:paraId="1694AC3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609E7F55" w14:textId="77777777" w:rsidR="00370634" w:rsidRPr="009E2717" w:rsidRDefault="00370634" w:rsidP="00095109">
      <w:pPr>
        <w:spacing w:after="0" w:line="240" w:lineRule="auto"/>
        <w:jc w:val="both"/>
        <w:rPr>
          <w:rFonts w:ascii="PMingLiU" w:eastAsia="PMingLiU" w:hAnsi="PMingLiU" w:cs="Times New Roman"/>
          <w:sz w:val="22"/>
          <w:szCs w:val="22"/>
        </w:rPr>
      </w:pPr>
    </w:p>
    <w:p w14:paraId="3B87CE2D"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4. 方略館任務</w:t>
      </w:r>
    </w:p>
    <w:p w14:paraId="63FD563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不過，需要說明的是，除編纂《方略》而外，方略館還奉旨承擔別的修史任務，例如在乾隆朝，由方略館承修的史書爲數不少，如《滿洲源流考》、《西域圖志》、《大清一統志》、《熱河志》、《清涼山志》，還參與了《明史本紀》、《明紀綱目》和《盛京通志》諸書的改纂。</w:t>
      </w:r>
    </w:p>
    <w:p w14:paraId="08E1227F"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3FF5238D"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3A61A1A7"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特別需要強調的是，方略館不僅司職修史，還辦理軍機處的日常文書往來，負責檔案的保存。就日常事務而言，更應把它看作是軍機處的下屬辦事機構，而並非專門的修史之館。④</w:t>
      </w:r>
    </w:p>
    <w:p w14:paraId="4E835DC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20B29562"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7E19998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關於其職能部分，清代梁章鉅的《樞垣記略》對於軍機處所屬方略館的記載較爲詳細，梁章鉅於嘉慶五年（１８００）充軍機章京，經常在方略館宿直，＠所以對此處甚爲熟悉。方略館所承擔的職能衆多，編寫「方略」書只是其中之一，？除此之外，方略館還有校對檔案折片並將檔案分年編纂集冊，＠方略館還校勘和纂修其他書籍，如纂修《西域圖志》，校勘《遼史》、《金史》、《元史》等，？方略館中還設有漢譯官翻譯和繕寫清文。？總之，附屬於軍機處的方略館章京因負有繁重的抄寫整理檔案的職責，？所以對檔案材料較爲熟悉，而編纂「方略」書的主要資料來源便是檔案，所以方略館的常設，既方便了．當朝檔案材料的整理，也對大型官方史書的編寫提供了可靠且充足的資料來源。</w:t>
      </w:r>
    </w:p>
    <w:p w14:paraId="3722DFF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4FF6514E"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379A09FC"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5. 《方略》的編幕人員</w:t>
      </w:r>
    </w:p>
    <w:p w14:paraId="2B7DCA8F"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方略館總裁沒有固定人數，皆基本均爲內閣大學士和軍機大臣。？在方略的編纂過程中，主要的參考資料有皇帝的諭旨、大臣的奏摺以及歌頌統治者軍功的碑文等等，此類檔案的數量繁多，不能盡數引用，而是需要參與《方略》書的編修人員擇其要者入《方略》。＠</w:t>
      </w:r>
    </w:p>
    <w:p w14:paraId="13D0AAC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4733DA60"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B4D5F0E"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參與編寫四部《方略》書的人員衆多，且明確的職能劃分，總的來說，設有總裁、副總裁、纂修人員、收掌官、校對官、提調官、謄錄人員等等，在不同的《方略》書中編纂人員的職能有略微的不同。</w:t>
      </w:r>
    </w:p>
    <w:p w14:paraId="52446F2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266A2269"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0B6E2C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總栽是清代官方修史的主管官，？均由內閣大學士擔任，其下有副總裁，爲協助、輔佐總裁辦事之官。查「裁」有鑑別之意，＠又有裁決、裁斷之意，＠那麼總裁就是一部書的總的監察與裁決之官，換言之就是一部書的總負責人。清代官修史書之總裁的主要職能是「筆削文辭，在纂修官編寫書籍的同時，總裁官要時常閱讀，並增補其中所缺之事，或刪減其中多餘之文字，「若開館修書，則特派總裁，任用部院府寺各官分承編纂之事，」？也就是說，開館修書之事需要多人分工，共同完成，所以總裁與副總裁之下還有各種編纂官員。</w:t>
      </w:r>
    </w:p>
    <w:p w14:paraId="13277EF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6D3F38F9"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D79A7D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乾隆時，史書之編纂官「繕寫漢文，請照明史綱目館。每員每日一千五百字。繕寫清文，請照玉牒館，每員每日八百五十字。校對數目，請照實錄館，每員每日二十五篇。」（１＇在漢人的日均工作量多於滿洲的情況下，依然有較</w:t>
      </w:r>
      <w:r w:rsidRPr="009E2717">
        <w:rPr>
          <w:rFonts w:ascii="PMingLiU" w:eastAsia="PMingLiU" w:hAnsi="PMingLiU" w:cs="Times New Roman" w:hint="eastAsia"/>
          <w:sz w:val="22"/>
          <w:szCs w:val="22"/>
        </w:rPr>
        <w:lastRenderedPageBreak/>
        <w:t>多的漢人蔘與《方略》的具體編修工作，說明在清代用漢文寫就的檔案數量要多於滿文，這種趨勢到清代後期尤其明顯。在前兩部方略的撰寫中，均設有滿纂修官，是爲撰寫《方略》的滿文版本。而後兩部《方略》中卻只有滿洲纂修官，滿相對於滿洲只缺一字，其意義卻相差甚遠。滿纂修官可以理解爲撰寫滿文的官員，而滿洲纂修官則只是其官員的族屬爲滿洲，但是用來撰寫《方略》的文字則很有可能是漢字。這一字之差再一次顯現出了清末官員對滿文運用的生疏。</w:t>
      </w:r>
    </w:p>
    <w:p w14:paraId="2F288E7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41EF31C5" w14:textId="77777777" w:rsidR="00370634" w:rsidRPr="009E2717" w:rsidRDefault="00370634" w:rsidP="00095109">
      <w:pPr>
        <w:spacing w:after="0" w:line="240" w:lineRule="auto"/>
        <w:jc w:val="both"/>
        <w:rPr>
          <w:rFonts w:ascii="PMingLiU" w:eastAsia="PMingLiU" w:hAnsi="PMingLiU" w:cs="Times New Roman" w:hint="eastAsia"/>
          <w:sz w:val="22"/>
          <w:szCs w:val="22"/>
        </w:rPr>
      </w:pPr>
    </w:p>
    <w:p w14:paraId="10551CAC"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6. 《方略》的編幕程序</w:t>
      </w:r>
    </w:p>
    <w:p w14:paraId="2C39BE9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我們這裏探討的編纂程序，是一種廣義上的「程序」的概念，包括編纂方式、編纂內容、編纂人員安排、各自權責等方面的內容。</w:t>
      </w:r>
    </w:p>
    <w:p w14:paraId="3E52557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77A68F0C"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4BCABC1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《高宗實錄》卷三三八載</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大學士等奏請編輯《平定金川方略》，酌擬十有五條，曰請照《平定朔漠方略》例，·編年按日，以次纂輯上諭應載，·其有重出與旁及它事，無關軍務者，或應刪節，應於進呈副本時聲明，恭候欽定軍前奏章，及外來題奏本摺，各部文案，凡涉機宜者均載臣等議覆軍機事件，皆禁承聖訓，應酌載徵調兵馬，撥運錢糧，派遣官將，整理器械，及軍前默陸賞恤諸事均載金川圖可稽山川道里，應交養心殿仿繪載入凡事蹟前後有發明處，謹加案語聲敘纂修草本底本，即令軍機處司員承辦，其進呈之副本正本，請交部於考取謄錄生監內，揀選字畫端楷者，酌取數名恭錄此次軍興事宜，悉由臣等承辦，若另派員，恐未能深悉，應即令軍機行走官員，分任提調、纂修等事，臣等總其大綱，每成一卷，先進副本，恭候欽定，再繕正本，告竣日恭請御製序文冠首凡清文諭旨奏摺，俱譯載</w:t>
      </w:r>
      <w:r w:rsidRPr="009E2717">
        <w:rPr>
          <w:rFonts w:ascii="PMingLiU" w:eastAsia="PMingLiU" w:hAnsi="PMingLiU" w:cs="Times New Roman"/>
          <w:sz w:val="22"/>
          <w:szCs w:val="22"/>
          <w:lang w:val="en-US"/>
        </w:rPr>
        <w:t>」</w:t>
      </w:r>
    </w:p>
    <w:p w14:paraId="3B9F8F0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733E1DD5"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310B79F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這段文字概括了平定金力方略》在編纂程序上的各方面的情況。首先，從編纂方式來說，該書仿照《平定朔漠方略》的格式，按時間順序，把相關材料編纂成書，以詳細記述戰爭始末，是一種新形式的紀事本末體史書。每修成一卷，便把副本進呈給皇上，得到皇帝首肯後，再謄寫正本。全書修成後，由皇上撰寫御製序文，置於卷首。之後交由武英殿刊刻成書。</w:t>
      </w:r>
    </w:p>
    <w:p w14:paraId="2053409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34E0BEDD"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D06E300"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第二，從編纂內容上說，《平定金川方略》有如下規定皇帝的上諭，若有關本次戰爭的，應完整收錄，若與本次戰爭關係不大的，可以酌情做一些刪改，但應在進呈給皇帝時註明，由皇帝定奪官員的奏章，凡涉及軍務的，應收錄軍機大臣等的覆議，應酌情收錄金川地形圖應繪製收錄在容易產生歧義的地方，應加上編者的按語，說明情況滿洲文字的諭旨，應翻譯後收錄傅恆及凱旋後大臣們的詩文，應有選擇性地收錄一部分，等等。</w:t>
      </w:r>
    </w:p>
    <w:p w14:paraId="7C3F521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243DF795" w14:textId="77777777" w:rsidR="00370634" w:rsidRPr="009E2717" w:rsidRDefault="00370634" w:rsidP="00095109">
      <w:pPr>
        <w:spacing w:after="0" w:line="240" w:lineRule="auto"/>
        <w:jc w:val="both"/>
        <w:rPr>
          <w:rFonts w:ascii="PMingLiU" w:eastAsia="PMingLiU" w:hAnsi="PMingLiU" w:cs="Times New Roman"/>
          <w:sz w:val="22"/>
          <w:szCs w:val="22"/>
        </w:rPr>
      </w:pPr>
    </w:p>
    <w:p w14:paraId="784FC8E5" w14:textId="77777777" w:rsidR="00370634" w:rsidRPr="009E2717" w:rsidRDefault="00370634" w:rsidP="00095109">
      <w:pPr>
        <w:spacing w:after="0" w:line="240" w:lineRule="auto"/>
        <w:jc w:val="both"/>
        <w:rPr>
          <w:rFonts w:ascii="PMingLiU" w:eastAsia="PMingLiU" w:hAnsi="PMingLiU" w:cs="Times New Roman" w:hint="eastAsia"/>
          <w:sz w:val="22"/>
          <w:szCs w:val="22"/>
        </w:rPr>
      </w:pP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hint="eastAsia"/>
          <w:sz w:val="22"/>
          <w:szCs w:val="22"/>
        </w:rPr>
        <w:t>1. 皇帝親自批閱</w:t>
      </w:r>
    </w:p>
    <w:p w14:paraId="27DAFB1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平定海寇方略》滿、漢文寫本，現存史語所明清檔案工作室，原藏清廷內閣大庫，皆有大量刪改痕跡，係草本底稿，有清一代未曾刊行。史語所現藏滿文本三卷，原為簿冊散頁，民國初年重新裝裱，每頁約長30公分，寬21公分。所錄事起康熙十八年二月上諭奉命大將軍和碩康親王傑淑（亦作傑書）等會議徵勦海寇機宜，迄康熙二十年十月施琅攻臺、姚啟聖等催辦錢糧事。滿文各卷塗改多為墨筆，其中封面又以漢字寫有「尚老爺寫」、「班老爺對過」等字樣，可見係館臣筆削之跡。哸至於漢文本四卷，亦為重裱簿冊散頁，每頁約長28.3公分，寬20公分，事始自康熙十八年二月，止於康熙二十三年十二月封鄭克塽為公。值得留意的是，漢文本中有硃筆批閱之痕跡，可以推測漢文本曾進呈康熙帝御覽。</w:t>
      </w:r>
    </w:p>
    <w:p w14:paraId="16E0866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平定海寇方略》滿漢文本對勘．孔令偉</w:t>
      </w:r>
      <w:r w:rsidRPr="009E2717">
        <w:rPr>
          <w:rFonts w:ascii="PMingLiU" w:eastAsia="PMingLiU" w:hAnsi="PMingLiU" w:cs="Times New Roman" w:hint="eastAsia"/>
          <w:sz w:val="22"/>
          <w:szCs w:val="22"/>
          <w:highlight w:val="yellow"/>
          <w:lang w:val="en-US"/>
        </w:rPr>
        <w:t>，</w:t>
      </w:r>
      <w:r w:rsidRPr="009E2717">
        <w:rPr>
          <w:rFonts w:ascii="PMingLiU" w:eastAsia="PMingLiU" w:hAnsi="PMingLiU" w:cs="Times New Roman" w:hint="eastAsia"/>
          <w:sz w:val="22"/>
          <w:szCs w:val="22"/>
          <w:highlight w:val="yellow"/>
        </w:rPr>
        <w:t>古今論衡，</w:t>
      </w:r>
      <w:r w:rsidRPr="009E2717">
        <w:rPr>
          <w:rFonts w:ascii="PMingLiU" w:eastAsia="PMingLiU" w:hAnsi="PMingLiU" w:cs="Times New Roman"/>
          <w:sz w:val="22"/>
          <w:szCs w:val="22"/>
          <w:highlight w:val="yellow"/>
        </w:rPr>
        <w:t>2023.12</w:t>
      </w:r>
      <w:r w:rsidRPr="009E2717">
        <w:rPr>
          <w:rFonts w:ascii="PMingLiU" w:eastAsia="PMingLiU" w:hAnsi="PMingLiU" w:cs="Times New Roman" w:hint="eastAsia"/>
          <w:sz w:val="22"/>
          <w:szCs w:val="22"/>
          <w:highlight w:val="yellow"/>
        </w:rPr>
        <w:t>第</w:t>
      </w:r>
      <w:r w:rsidRPr="009E2717">
        <w:rPr>
          <w:rFonts w:ascii="PMingLiU" w:eastAsia="PMingLiU" w:hAnsi="PMingLiU" w:cs="Times New Roman" w:hint="eastAsia"/>
          <w:sz w:val="22"/>
          <w:szCs w:val="22"/>
        </w:rPr>
        <w:t>41期</w:t>
      </w:r>
    </w:p>
    <w:p w14:paraId="3E9071A9" w14:textId="77777777" w:rsidR="00370634" w:rsidRPr="009E2717" w:rsidRDefault="00370634" w:rsidP="00095109">
      <w:pPr>
        <w:spacing w:after="0" w:line="240" w:lineRule="auto"/>
        <w:jc w:val="both"/>
        <w:rPr>
          <w:rFonts w:ascii="PMingLiU" w:eastAsia="PMingLiU" w:hAnsi="PMingLiU" w:cs="Times New Roman"/>
          <w:sz w:val="22"/>
          <w:szCs w:val="22"/>
        </w:rPr>
      </w:pPr>
    </w:p>
    <w:p w14:paraId="4665373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在編修《四庫全書》時，又下旨讓紀昀赴文津閣校閱各書，且查出《平定準噶爾方略（正編）》等書共六十二冊有較多錯誤，當撤出改正後賚送歸架。？乾隆帝不僅對漢文稿本《平定準噶爾方略》一一查閱，對此《方略》的滿文版本也是逐字批閱。乾隆三十年四月下諭軍機大臣等：「前方略館所進卷十三清字《方略》，將一鼓先登句鼓字，翻爲擊鼓之鼓，業經降旨查詢。今進呈第十五卷，又將以增羽翼句，直翻爲羽翼字樣。甚屬非是。」＠且嚴查了事關此句翻譯的官員，令其「遇有應升處，停其升用」。＠</w:t>
      </w:r>
    </w:p>
    <w:p w14:paraId="3404E6A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3B11065B"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72DB6A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總之，有清一代，《欽定方略》等官方史書地撰寫均由皇帝所親自監督，在編纂過程中皇帝也多次親力親爲，對其內容所用詞句一一修改。尤其是乾隆帝，對《平定準噶爾方略》滿漢文本字句的互譯也及其嚴格，若有所不合理之</w:t>
      </w:r>
      <w:r w:rsidRPr="009E2717">
        <w:rPr>
          <w:rFonts w:ascii="PMingLiU" w:eastAsia="PMingLiU" w:hAnsi="PMingLiU" w:cs="Times New Roman" w:hint="eastAsia"/>
          <w:sz w:val="22"/>
          <w:szCs w:val="22"/>
        </w:rPr>
        <w:lastRenderedPageBreak/>
        <w:t>處，會對負責翻譯的官員嚴加懲戒。他曾說過：「皇祖《平定朔漠》詩中，即有力排衆議之語，足見我朝家法，獨運乾綱」，</w:t>
      </w:r>
    </w:p>
    <w:p w14:paraId="4FC556E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60A47A4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rPr>
        <w:br w:type="page"/>
      </w:r>
    </w:p>
    <w:p w14:paraId="20F471EE" w14:textId="4AA15ED9" w:rsidR="00370634" w:rsidRPr="009E2717" w:rsidRDefault="00370634" w:rsidP="00095109">
      <w:pPr>
        <w:pStyle w:val="Heading1"/>
        <w:spacing w:line="240" w:lineRule="auto"/>
        <w:jc w:val="both"/>
        <w:rPr>
          <w:rFonts w:eastAsia="PMingLiU"/>
          <w:sz w:val="22"/>
          <w:szCs w:val="22"/>
        </w:rPr>
      </w:pPr>
      <w:r w:rsidRPr="009E2717">
        <w:rPr>
          <w:rFonts w:eastAsia="PMingLiU"/>
          <w:sz w:val="22"/>
          <w:szCs w:val="22"/>
        </w:rPr>
        <w:lastRenderedPageBreak/>
        <w:tab/>
      </w:r>
      <w:bookmarkStart w:id="3" w:name="_Toc221359234"/>
      <w:r w:rsidRPr="009E2717">
        <w:rPr>
          <w:rFonts w:eastAsia="PMingLiU" w:hint="eastAsia"/>
          <w:sz w:val="22"/>
          <w:szCs w:val="22"/>
        </w:rPr>
        <w:t xml:space="preserve">4. </w:t>
      </w:r>
      <w:r w:rsidRPr="009E2717">
        <w:rPr>
          <w:rFonts w:eastAsia="PMingLiU" w:hint="eastAsia"/>
          <w:sz w:val="22"/>
          <w:szCs w:val="22"/>
        </w:rPr>
        <w:t>清代</w:t>
      </w:r>
      <w:r w:rsidRPr="009E2717">
        <w:rPr>
          <w:rFonts w:eastAsia="PMingLiU" w:hint="eastAsia"/>
          <w:sz w:val="22"/>
          <w:szCs w:val="22"/>
        </w:rPr>
        <w:t>方略體例</w:t>
      </w:r>
      <w:bookmarkEnd w:id="3"/>
    </w:p>
    <w:p w14:paraId="5CC37367"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翻開每一部《欽定方略》，正文首頁一般都是《御製序》，雖然《序言》在首，但是寫成此文章的時間卻是成書之後，如《平定朔漠方略》在康熙四十七年七月寫成，之後皇帝才「親賜序文」。＠序文的開頭會首先宣揚皇帝本身的正統性和戰爭的正義性，</w:t>
      </w:r>
    </w:p>
    <w:p w14:paraId="512F1C3F"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175B70F6"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A093934"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hint="eastAsia"/>
          <w:sz w:val="22"/>
          <w:szCs w:val="22"/>
        </w:rPr>
        <w:t>《平定回疆剿擒逆裔方略》表後是皇帝德御製詩文，且《平定朔漠方略》、《平定準噶爾方略》中均有滿、漢文編纂人員</w:t>
      </w:r>
    </w:p>
    <w:p w14:paraId="3EE43D5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5511BD9E"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4A44B24"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rPr>
        <w:t>《方略》的體例爲紀事本末體，其書寫規範雖各有不同，但大致順序爲《御製序》、《表》、各纂修官官名與名字以及正文部分。且每部「方略」的正文部分由皇帝親自閱覽修改後方可刊刻。</w:t>
      </w:r>
    </w:p>
    <w:p w14:paraId="4DE3576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259CF485" w14:textId="77777777" w:rsidR="00370634" w:rsidRPr="009E2717" w:rsidRDefault="00370634" w:rsidP="00095109">
      <w:pPr>
        <w:spacing w:after="0" w:line="240" w:lineRule="auto"/>
        <w:jc w:val="both"/>
        <w:rPr>
          <w:rFonts w:ascii="PMingLiU" w:eastAsia="PMingLiU" w:hAnsi="PMingLiU" w:cs="Times New Roman" w:hint="eastAsia"/>
          <w:sz w:val="22"/>
          <w:szCs w:val="22"/>
        </w:rPr>
      </w:pPr>
    </w:p>
    <w:p w14:paraId="115D4D96"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br w:type="page"/>
      </w:r>
    </w:p>
    <w:p w14:paraId="437640F8" w14:textId="77777777" w:rsidR="00370634" w:rsidRPr="009E2717" w:rsidRDefault="00370634" w:rsidP="00095109">
      <w:pPr>
        <w:pStyle w:val="Heading1"/>
        <w:spacing w:line="240" w:lineRule="auto"/>
        <w:jc w:val="both"/>
        <w:rPr>
          <w:rFonts w:eastAsia="PMingLiU"/>
          <w:sz w:val="22"/>
          <w:szCs w:val="22"/>
          <w:lang w:val="en-US"/>
        </w:rPr>
      </w:pPr>
      <w:r w:rsidRPr="009E2717">
        <w:rPr>
          <w:rFonts w:eastAsia="PMingLiU"/>
          <w:sz w:val="22"/>
          <w:szCs w:val="22"/>
          <w:lang w:val="en-US"/>
        </w:rPr>
        <w:lastRenderedPageBreak/>
        <w:tab/>
      </w:r>
      <w:bookmarkStart w:id="4" w:name="_Toc221359235"/>
      <w:r w:rsidRPr="009E2717">
        <w:rPr>
          <w:rFonts w:eastAsia="PMingLiU" w:hint="eastAsia"/>
          <w:sz w:val="22"/>
          <w:szCs w:val="22"/>
          <w:lang w:val="en-US"/>
        </w:rPr>
        <w:t>5. 清代編修的方略</w:t>
      </w:r>
      <w:bookmarkEnd w:id="4"/>
    </w:p>
    <w:p w14:paraId="2AA73CE4"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p>
    <w:p w14:paraId="6CD7C5A6"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1. 清代總數</w:t>
      </w:r>
    </w:p>
    <w:p w14:paraId="2CC674CE"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從康熙二十一年（１６８２）至光緒二十二年（１８９６）的２１５年間，清朝先後編纂了２５部方略，計有康熙朝５部，乾隆朝１１部，嘉慶朝３部，道光朝１部，同治朝２部，光緒朝３部。</w:t>
      </w:r>
    </w:p>
    <w:p w14:paraId="547BD448"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2D8BB901"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44535F3"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2. 種類</w:t>
      </w:r>
    </w:p>
    <w:p w14:paraId="4E339C4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自康熙迄於光緒，清代官修《方略》凡部，計有康熙朝部，乾隆朝部，嘉慶朝部，道光朝部，同治朝部，光緒朝部。清代《方略》記錄了清朝歷次重大軍事活動，具體而言，可分爲三大類別</w:t>
      </w:r>
    </w:p>
    <w:p w14:paraId="2CFED99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47EF07A5"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380513D7"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鞏固多民族國家統一的戰爭，如《平定三逆方略》所述平定「三藩」之亂《平定察哈爾方略》所述平定布尼爾叛亂</w:t>
      </w:r>
    </w:p>
    <w:p w14:paraId="35D7033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14A2FBDF"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4BA557E7"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鎮壓和平定農民起義和少數民族反清的戰爭</w:t>
      </w:r>
    </w:p>
    <w:p w14:paraId="212A141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66522BD2"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7967F339"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涉及周邊國家的戰爭，如《安南紀略》所述出兵安南，又如《平定羅剎方略》、《巴勒布紀略》及《廓爾喀紀略》，</w:t>
      </w:r>
    </w:p>
    <w:p w14:paraId="23EACD0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01C8D1BA" w14:textId="77777777" w:rsidR="00370634" w:rsidRPr="009E2717" w:rsidRDefault="00370634" w:rsidP="00095109">
      <w:pPr>
        <w:spacing w:after="0" w:line="240" w:lineRule="auto"/>
        <w:jc w:val="both"/>
        <w:rPr>
          <w:rFonts w:ascii="PMingLiU" w:eastAsia="PMingLiU" w:hAnsi="PMingLiU" w:cs="Times New Roman" w:hint="eastAsia"/>
          <w:sz w:val="22"/>
          <w:szCs w:val="22"/>
        </w:rPr>
      </w:pPr>
    </w:p>
    <w:p w14:paraId="10227EE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2. 康熙</w:t>
      </w:r>
    </w:p>
    <w:p w14:paraId="166BFFF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康熙朝首開編纂方略的先河，從１６８２１７０８年，先後編有方略５部，它們是：《平定三逆方略》、《平定察哈爾方略》、《平定海寇方略》、《平定羅剎方略》和《平定朔漠方略》，分別記錄了康熙朝的５次重要戰爭。</w:t>
      </w:r>
    </w:p>
    <w:p w14:paraId="4847D4F0"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06C0E118"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30880A6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在它們當中，最具代表性的是最早成書的《平定三逆方略》和最晚成書的一方面，這兩部書的卷帙較大；另一方面，在體例上也大致成型。另外的３部書，卷帙過於單薄，記事偏於簡略，尚屬未定型的稿本。茲將康熙朝編纂的方略分述如次：</w:t>
      </w:r>
    </w:p>
    <w:p w14:paraId="6E0392C4"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1A224D63"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30FF7CE6"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3. 乾隆</w:t>
      </w:r>
    </w:p>
    <w:p w14:paraId="5467444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在乾隆朝所編的１１部方略中，《平定準噶爾方略》、《平定金川方略》、《平定兩金川方略》分別記錄了平準、平回以及兩次金川之戰；《巴勒布方略》、《廓爾喀方略》分別記錄了反擊巴勒布、廓爾喀入侵西藏的戰爭；《安南紀略》記錄了出兵越南的始末；《臺灣紀略》、《臨清紀略》、《蘭州紀略》、《石峯堡紀略》則分別記錄了鎮壓臺灣林爽文、山東王倫、甘肅蘇四十三以及田五起義的全過程。另外，還編了一部《開玉方略》，追述祖輩開基創業的戰爭歷程。在乾隆所自誇的「十全武功」中，只有緬甸之役沒有方略記錄。除《開國方路》之外，這１０部方略大體上反映了乾隆朝的重要戰爭活動。</w:t>
      </w:r>
    </w:p>
    <w:p w14:paraId="18B3C8B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4426E0CD"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28B02A6"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乾隆朝編纂的方略乾隆朝編纂的方略最多，從１７４９～１７９６年，先後編有１１部方略，它們是：《平定金川方略》、《平定準噶爾方略》、《開國方略》、《臨清紀略》、《平定兩金川方略》、《蘭州紀略》、《石峯堡紀略》、《臺灣紀略》、《安南紀略》、《巴勒布紀略》和《廓爾喀紀略》。</w:t>
      </w:r>
    </w:p>
    <w:p w14:paraId="49F15C8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4B7809DA"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71EC35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在它們當中，《開國方略》追憶的是清朝的開國史，涉及到努爾哈赤、皇太極和順治三代的若干次戰爭，採用的是編年體，與「方略」之體並不一致；</w:t>
      </w:r>
    </w:p>
    <w:p w14:paraId="5239B873"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0B6602AD"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38153B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１．《平定金川方略》３２卷。來保等撰。亦作《欽定平定金川方略》。金川之戰，是清朝對大小金川藏民的用兵。大小金川，是大渡河上游的支流，自東北流向西南。大金川又名促浸，小金川又名攢拉，位於打箭爐（今四川康定）之西北，與瞻對（今四川新龍）鄰近，因沿河叢山中產金礦而得名。１７４６年，四川大金川土司莎羅奔，出兵攻掠小金川。乾隆先後派四川巡撫紀山、雲貴總督張廣泅、大學士訥親、傅恆及四川提督嶽鐘琪前往徵討。經過兩年的激戰，莎羅奔勢窮力蹙，被迫向清朝投降。據《清實錄》，該書始撰於乾隆十四年（１７４９）二月；四月，</w:t>
      </w:r>
      <w:r w:rsidRPr="009E2717">
        <w:rPr>
          <w:rFonts w:ascii="PMingLiU" w:eastAsia="PMingLiU" w:hAnsi="PMingLiU" w:cs="Times New Roman" w:hint="eastAsia"/>
          <w:sz w:val="22"/>
          <w:szCs w:val="22"/>
          <w:lang w:val="en-US"/>
        </w:rPr>
        <w:lastRenderedPageBreak/>
        <w:t>乾隆審定大臣提出的１５條編纂定議，說明該書的確始撰於乾隆十四年，而不是《四庫全書總目提要》所說的乾隆十三年。這部書編了大約三年時間，告成於乾隆十七年（１７５２）。書前有乾隆《御製平定金川方略序》，隨後是《金川圖》及《金川圖說》，還有來保等人的《進平定金川方略表》。正文的記事內容，自乾隆十一年（１７４６）十一月莎羅奔「肆橫不法」始，至十五年（１７５０）平亂後的善後措施止，記述了莎羅奔與臨近土司的積怨由來，以及清朝發動金川戰爭全過程。全書從內容上可分三部分：卷１～２６，記述了第一次用兵金川戰爭的全過程；卷２７，刊載的是乾隆的御製詩文：卷２８～３２，是大臣們附和乾隆的紀功詩文。先有乾隆刊本，後收入《四庫全書》。又有自得園朱絲欄抄本。今有（臺灣）商務印書館（文淵閣）《四庫全書》１９８３～１９８６年影印本；又收人《清代方略全書》，由北京圖書館出版社２００６年影印出版。</w:t>
      </w:r>
    </w:p>
    <w:p w14:paraId="7375FF34"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10CC58AB"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0A72457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２．《平定準噶爾方略》１７１卷。傅恆等撰。亦作《御定平定準噶爾方略》。地處西北極邊的新疆，清初以來的百餘年間，一直動蕩不安，既有準噶爾部噶爾丹野心吞併蒙古各部於先，又有策拉布坦、噶爾丹策零父子，以及策妄阿拉布坦外甥阿睦爾撒納接踵叛亂於後，清朝為此進行了長達半個多世紀的平叛戰爭；接下來，清朝又向新疆南路進兵，壓服了稱之為大小「和卓木」的維吾爾族叛亂首領布那敦和霍集佔，從而最終完成了對中國的完全統一。據《清實錄》，乾隆二十年（１７５５）七月，大學士傅恆建議：「平定準噶爾大功告成，請編方略以垂永久。從之。」１《清史列傳》中的《傅恆傳》、《來保傳》和《汪由敦傳》說，這三人於當年充任正總裁官。可知，該書始撰於乾隆二十年。另據《清實錄》，這部方略耗時１５年之久，於乾隆三十五年（１７７０）正月成書２，而不是《四庫全書總目提要》所說的乾隆三十七年。書前有乾隆的《平定準噶爾方略序》，還有傅恆等人的《進平定準噶爾方略表》。全書分《前編》５４卷、《正編》８５卷、《續編》３３卷。正文的記事內容，自康熙三十九年（１７００）七月「命議青海事宜」始，至乾隆十八年（１７５３）九月命欽差大臣永常為陝甘總督止為《前編》，記述了準噶爾問題的緣起及康雍乾三朝對準噶爾方針、政策和「撻伐」之事；自乾隆十八年十一月準噶爾都爾伯特臺吉策凌率眾降清始，至乾隆二十五年（１７６０）三月乾隆在中南海豐澤園賞賜凱旋清軍將領止為《正編》，記述了平定阿睦爾撒納叛亂及擒斬大小和卓木的全過程；自乾隆二十五年三月犒賞凱旋之索倫官兵始，至三十年（１７６５）十一月伊犁將軍明瑞疏奏辦理烏什回人情形止為《續編》，記述了平定準噶爾及大小和卓木叛亂的始末。該書有滿、漢兩種文本，先有乾隆三十七年（１７７２）武英殿刻本，乾隆四十六年（１７８１）收入《四庫全書》。又有朱絲欄抄本。今有（臺灣）商務印書館（文淵閣）《四庫全書》１９８３～１９８６年影印本；又收入《清代方略全書》，由北京圖書館出版社２００６年影印出版。</w:t>
      </w:r>
    </w:p>
    <w:p w14:paraId="5CDF48D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7CFAF1F7"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42218CF6"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４．《臨清紀略》１６卷。舒赫德等撰。亦作《欽定臨清紀略》、《欽定剿捕臨清逆匪方略》。王倫本系山東壽張（今山東陽谷）人，初為斥革之縣役。乾隆十六年（１７５１），隨張既成入清水教，以行醫傳教及教授拳棒為掩護，於壽張、堂邑（今山東聊城）、陽谷諸縣密謀反清。乾隆三十九年（１７７４），因年歲歉收，官吏額外盤剝，王倫及弟子王經隆，先後攻取壽張、陽谷、堂邑及臨清舊城。地處大運河樞紐的臨清的政治變故，引起了清朝統治者的極大驚慌，乾隆遂派大學士舒赫德率軍鎮壓。經過一個月的激戰，王倫起義軍終因寡不敵眾而歸於失敗。據《國朝宮史續編》，這部書始撰於乾隆三十九年，於四十二年（１７７７）成書。正文的記事內容，自乾隆三十九年九月山東巡撫徐績奏報王倫起義始，至四十一年二月乾隆親臨清舊城諮詢周覽止，還附有一些被俘起義人員的部分供詞，</w:t>
      </w:r>
    </w:p>
    <w:p w14:paraId="1C29995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02ECDF53"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4402D8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５．《平定兩金川方略》１５２卷。阿桂等撰。亦作《欽定平定金川方略》。第一次金川之戰後，莎羅奔年老而精力不濟，由兒子郎卡主持大金川事務。郎卡與小金川土司僧格桑聯姻，狼狽為奸而稱霸當地。郎卡死後，他的兒子索諾木，又與僧格桑聯合對抗清朝，於１７７１年再次發動叛亂。乾隆先後派四川總督阿爾泰、大學士溫福、尚書桂林、定西將軍阿桂前往徵討。戰爭歷時５年之久，依次平定小金川和大金川，索諾木逃至刮耳崖（今四川懋功西北）出降。該書始撰於乾隆四十一年（１７７６）二月，於四十四年（１７７９）歲末成書，至四十六年（１７８１）由阿桂奏進。書前有福隆安、梁國治所撰的《紀略》１卷，如同當年康熙的《御製親徵朔漠紀略》一樣，是一篇關於這場戰爭的概述性文字。另有《天章》８卷，卷１刊載的是乾隆御筆題寫的《平定兩金川告成太學碑文》、《平定金川勒銘美諾之碑》、《平定金川勒銘勒烏圍之碑》、《平定金川勒銘噶喇依之碑》；卷２～８，刊載的是乾隆御製紀事詩文；藝文８卷，刊載的是大臣們附和乾隆的紀功詩文。正文的記事內容，自乾隆二十年（１７５５）六月開泰任四川總督始，至四十四年清廷議定屯防兵額止，記述了第二次用兵大小金川的始末。先有乾隆刊本，乾隆五十四年（１７８９）收入《四庫全書》。今有（臺灣）商務印書館（文淵閣）《四庫全書》１９８３～１９８６年影印本；又收入《清代方略·８９·全書》，由北京圖書館出版社２００６年影印出版。略》。</w:t>
      </w:r>
    </w:p>
    <w:p w14:paraId="3D1F3444"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7124E33A"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F2E0FB3"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６．《蘭州紀略》２１卷。阿桂等撰。亦作《欽定蘭州紀在甘兩省交界處，是信仰伊斯蘭教的回族、撒拉族聚居地。１８世紀中葉以來，這裡的階級矛盾和宗教衝突交織在一起。一方面，民眾以各種形式起而反抗伊斯蘭教「門宦」</w:t>
      </w:r>
      <w:r w:rsidRPr="009E2717">
        <w:rPr>
          <w:rFonts w:ascii="PMingLiU" w:eastAsia="PMingLiU" w:hAnsi="PMingLiU" w:cs="Times New Roman" w:hint="eastAsia"/>
          <w:sz w:val="22"/>
          <w:szCs w:val="22"/>
          <w:lang w:val="en-US"/>
        </w:rPr>
        <w:lastRenderedPageBreak/>
        <w:t>的剝削和壓榨；另一方面，新、老教之間連年發生械鬥，而清朝偏袒老教，從而引起了新、老教之間更大的矛盾與衝突。１７８１年，清朝「扶老抑新」的政策，最終促發了原來的新、老教之爭發生了轉化，演變為蘇四十三領導的撒拉族反清起義。起義者攻破河州（今甘肅臨夏），又圍困蘭州。乾隆派遣軍機大臣和珅、阿桂為欽差大臣，急調固原、西寧、涼州清軍、循化撒拉族土司、京兵、火器營和四川藏兵及阿拉善蒙古兵，經蘭州華林寺激戰，鎮壓了這次撒拉族反清起義。該書始撰於乾隆四十六年（１７８１），於次年成書。包括天章１卷，正文２０卷，《國朝宮史續編》誤作２４卷。正文的記事內容，自乾隆四十六年三月陝甘總督勒爾錦奏報蘇四十三起義始，至四十七年十一月乾隆赦免涉嫌王稟望冒災賑濟的蘭州知府楊士璣止，記述了鎮壓蘇四十三起義的全過程。乾隆五十四年（１７８９年）收入《四庫全書》，後有嘉慶三年（１７９８）刊本。今有（臺灣）商務印書館（文淵閣）《四庫全書》１９８３～１９８６年影印本；又收入《清代方略全書》，由北京圖書館出版社２００６年影印出版；另有楊懷中點校本，由寧夏人民出版社１９８８年出版。</w:t>
      </w:r>
    </w:p>
    <w:p w14:paraId="151D0199"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14D30D92"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7FBC5C59"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７．《石峯堡紀略》２１卷。方略館編纂。亦作《欽定石峯堡紀略》。＊１７８１年，蘇四十三起義失敗後，清朝對回族、撒拉族及·９０．伊斯蘭新教仍推行高壓政策，從而激發了１７８４年田五、張文慶、馬四娃領導的石峯堡起義。他們以為馬明心（回教新教創始人，１７８１年死於蘭州官獄）報仇相號召，起義波及甘寧青三省交界地區，涉及到鹽茶廳、靖遠、通渭、伏羌、靜寧、隆德、固原、華亭、清水、秦安、會寧、安定、莊浪諸州縣，規模和影響超過了蘇四十三領導的反清起義。清朝以阿桂、福康安為欽差大臣，會同海蘭察所率巴圖魯侍衛福寧，阿拉善王、寧夏副都統旺沁班巴爾所率厄魯特兵丁，成都將軍保寧所率練番（藏）兵，以及火器、健銳兩營精兵會剿，經底店山（今甘肅靜寧東南）、石峯堡（今甘肅通渭北）戰鬥，至七月初攻克石峯堡，最終鎮壓了這次回民的反清起義。該書始撰於乾隆四十九年（１７８４），成書之年不詳。包括天章１卷（收錄乾隆御製詩５首、御製文《遲速論》１篇），正文２０卷。正文的記事內容，自乾隆四十九年四月固原提督剛塔奏報田五起義始，至五十年四月福康奏報各處勘察情況止，記述了鎮壓田五起義的始末。乾隆五十四年（１７８９）收人《四庫全書》。又有朱絲欄抄本。今有（臺灣）商務印書館（文淵閣）《四庫全書》１９８３～１９８６年影印本；又收入《清代方略全書》，由北京圖書館出版社２００６年影印出版；另有楊懷中點校本，由寧夏人民出版社１９８８年出版。</w:t>
      </w:r>
    </w:p>
    <w:p w14:paraId="782FB904"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59D9C3DD"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23BE767"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８．《臺灣紀略》７０卷。方略館編纂。亦作《平定臺灣紀略》、《欽定平定臺灣紀略》。１７世紀後半葉，臺灣回歸之後，清朝加強了對臺灣的政治統治。１８世紀以來，從大陸派駐臺灣的官員，大多貪圖成性，搜刮無度；而貪污賄賂之風，又嚴重腐蝕了清朝駐臺軍營，使它失去了戰鬥力和震攝作用。臺灣各級軍政人員的貪婪掠奪，激化了臺灣民眾與封建統治者之間的矛盾，最終釀成了．９１１７８６年的林爽文、莊大田起義。林爽文以天地會來組織民眾，以「反貪官」為重要政治目標，先後攻克彰化、淡水、諸羅；莊大田亦起兵臺南，攻克鳳山，隨後兩軍又會攻臺灣府城。乾隆先後派遣福建水師提督黃仕簡、陸路提督任承恩、閩浙總督常青、欽差大臣福康安前往徵討。１６８８年，起義終因力量懸殊而歸於失敗。該書始撰於乾隆五十三年（１７８８），成書之年不詳。包括卷首５卷，正文６５卷。卷首收錄了乾隆御製詩３篇、御製文、御製贊（平臺２０功臣像贊）各１篇。正文的記事內容，自乾隆五十一年（１７８６）十二月閩浙總督常青奏報臺灣發生林爽文起義始，至五十三年十二月清查「叛產」（起義者的財產）、酌定章程止，記述了鎮壓林爽文起義的全過程。先有乾隆五十三年殿刻本，次年收入《四庫全書》。又有朱絲欄抄本。今有（臺灣）商務印書館（文淵閣）《四庫全書》１９８３～１９８６年影印本；又收入《清代方略全書》，由北京圖書館出版社２００６年影印出版。</w:t>
      </w:r>
    </w:p>
    <w:p w14:paraId="1F292666"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08B2D194"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4F1EC8EC"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９．《安南紀略》３２卷。方略館編纂。亦作《欽定安南紀略》。早在順康之際，安南（今越南）黎氏自請歸附清朝。１６８３年，康熙冊封黎維稹為安南國王，還賜給他「忠孝守邦」的御筆扁額１。１８世紀後半葉，安南歸仁府阮文嶽、阮文惠兄弟發動西山起義，推翻黎氏王朝，國王黎維出走。１７８８年，乾隆以黎氏一貫守藩奉貢，意欲恢復黎氏統治，遂派兩廣總督孫士毅出兵，干涉安南的內政事務。富良江一役，清軍損失慘１天台野：《大清見聞錄》上卷《史料遺聞》，鄭州：中州古籍出版社，２０００年版，第３５１頁。掌９２．重。阮文惠改名光平，乘勢遣使「乞和」，給了顧全乾隆臉面的一個下臺階，安南之役於是草草收場。事後，清朝封阮光平為安南國王。據《國朝宮史續編》，該書始撰於乾隆五十六年（１７９１）１，但成書之年不詳。書前有乾隆的《聖制勘定安南復封黎維為國王功成班師記》、《聖制書安南始末事記》、《聖制再書安南始末事記》。卷首２卷，正文３０卷。正文的記事內容，自乾隆五十三年（１７８８）五月援助安南國王黎維祈復位始，至五十六年三月敕封光平為安南國王止，記述了出兵安南的始末。該書原未刊刻，故宮博物院、國家圖書館存有抄本。今有《中國文獻珍本叢書》本，由書目文獻出版社１９８６年影印出版；另收入（臺灣）商務印書館（文淵閣）《四庫全書》１９８３～１９８６年影印本；又收入《清代方略全書》，由北京圖書館出版社２００６年影印出版。</w:t>
      </w:r>
    </w:p>
    <w:p w14:paraId="6B0EDB60"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3402E351"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DD7746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lastRenderedPageBreak/>
        <w:t>１０．《巴勒布紀略》２６卷。方略館編纂。亦作《欽定巴勒布紀略》。在《清史稿·藝文志》中，該書著錄為《巴布勒紀略》。「巴勒布」，在清代文獻中，是「尼泊爾」的藏語音譯。可知，「巴布勒」應是「巴勒布」之誤。１７８１年，六世班禪入京朝覲，不幸病逝於北京黃寺。他生前受到的賞賜、施捨很多，後為胞兄巴呼圖克圖所獨佔，引起他的弟弟捨瑪爾巴的不滿，遂勾結巴勒布貴族巴都爾薩野，於１７８８年侵佔西藏西南的聶拉木、濟嚨（今作吉隆）、宗喀（今吉隆宗噶鄉），西藏南部沿邊一線告急。清朝派遣侍郎巴忠、四川總督鄂輝、成都將軍成１慶桂、王傑、紀昀：《國朝宮史續編》卷８５《書籍·方略》，北京：北京古籍出版社，１９９４年點校本。·９３．德率兵馳援，但雙方一直對峙不戰。次年經過交涉，巴忠力主調停賄和，許以「地租」收回被佔領土，巴勒布撤軍，奏表歸附納貢。該書始撰和成書之年不詳。《國朝宮史續編》上說：乾隆六十年四月十七日本處奏，「前次纂輯《巴勒布紀略》二十六卷，未經奏請議敘，此次續辦之。」１由此推測，它至遲完成於乾隆六十年（１７９５）之前。另外，按當時習慣上的做法，戰事一起，方略的編纂就隨之開始，故而該書的始撰之年可能就是乾隆五十三年（１７８８）。包括卷首４卷，正文２６卷。卷首刊載的是乾隆的御製詩文。正文的記事內容，自乾隆五十三年七月駐藏大臣慶林雅滿泰奏報軍情始，至五十四年十一月四川總督鄂輝議奏「設站立界」，整頓西藏邊政事宜止，記述了擊潰巴勒布入侵西藏的全過程。該書原未刻刊，故宮圖書館存有朱絲欄抄本。又有民國二十二年（１９３３）國立北平圖書館抄本。今有《西藏學漢文文獻匯刊》本，由西藏社會科學院、中央民族學院１９９１年影印出版；又收入《清代方略全書》，由北京圖書館出版社２００６年影印出版。</w:t>
      </w:r>
    </w:p>
    <w:p w14:paraId="7D99E61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141DDE0C"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8DC4168"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１１．《廓爾喀紀略》５８卷。方略館編纂。亦作《欽定廓爾喀紀略》。「廓爾喀」原為尼泊爾一個小邦，１８世紀中葉乘尼泊爾內亂，逐一征服各部，建立以加德滿都為中心的尼泊爾新王朝。１７８８～１７８９年的巴勒布之役後，廓爾喀兩度索取「地租」不成，遂於乾隆五十六年（１７９１）六月再次入侵後藏，出兵搶佔西藏西南的聶拉木、濟嚨、定日、日喀則，還把扎什倫布寺１慶桂、王傑、紀昀：《國朝宮史續編》卷８５《書籍·方略》，北京：北京古籍出版社，１９９４年點校本。·９４·搶掠一空。乾隆派遣福康安為大將軍，海蘭察、奎林為參贊大臣，調集索倫兵及金川練士兵，由青海、四川入藏徵討。次年正月，清軍收復全部失地；旋又深入廓爾喀境內，一直兵臨加德滿都城下，廓爾喀被迫遣使求和。清朝兩度出兵西藏，擊退廓爾喀人入侵，對於安定西藏、保衛邊疆、維護統一具有重要意義。據《清史列傳》：乾隆五十九年（１７９５）九月，諭曰：「朕批閱廓爾喀紀略，福康安於人跡不到之處，攀援登陟，殊為眷念。」１另據《國朝宮史續編》，乾隆六十年四月十七日本處奏：「纂輯《廓爾喀紀略》五十四卷現已完竣，並恭錄御紀事詩文列為天章四冊，冠於卷首，一並進呈。」２可見，該書的始撰之年，至晚是乾隆五十九年，於次年（１７９６）四月成書。包括卷首４卷，正文５４卷。卷首１～３，刊載的是乾隆的御製詩，卷首４，刊載的是乾隆的御製文。正文的記事內容，自乾隆五十六年（１７９１）八月駐藏大臣保泰雅滿泰奏報軍情始，至五十八年十月乾隆命軍機大臣傳諭福康安止，記述了潰廓爾喀入侵西藏的始末。它與《巴勒布紀略》為姊妹篇，兩書記事前後相連，是有關抗擊巴勒布、廓爾喀入侵西藏的完整記錄。先有乾隆六十年（１７９６）武英殿本。又有朱絲欄抄本。今有《西藏學漢文文獻匯刊》本，由西藏社會科學院、中央民族學院１９９１年影印出版；又收入《清代方略全書》，由北京圖書館出版社２００６年影印出版。</w:t>
      </w:r>
    </w:p>
    <w:p w14:paraId="14C624D3"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107F77AA"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051E7367"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p>
    <w:p w14:paraId="7C3DE432"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D6851B1"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p>
    <w:p w14:paraId="5612D2FC"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br w:type="page"/>
      </w:r>
    </w:p>
    <w:p w14:paraId="2B34E5BD" w14:textId="77777777" w:rsidR="00370634" w:rsidRPr="009E2717" w:rsidRDefault="00370634" w:rsidP="00095109">
      <w:pPr>
        <w:pStyle w:val="Heading1"/>
        <w:spacing w:line="240" w:lineRule="auto"/>
        <w:jc w:val="both"/>
        <w:rPr>
          <w:rFonts w:eastAsia="PMingLiU"/>
          <w:sz w:val="22"/>
          <w:szCs w:val="22"/>
          <w:lang w:val="en-US"/>
        </w:rPr>
      </w:pPr>
      <w:r w:rsidRPr="009E2717">
        <w:rPr>
          <w:rFonts w:eastAsia="PMingLiU"/>
          <w:sz w:val="22"/>
          <w:szCs w:val="22"/>
          <w:lang w:val="en-US"/>
        </w:rPr>
        <w:lastRenderedPageBreak/>
        <w:tab/>
      </w:r>
      <w:bookmarkStart w:id="5" w:name="_Toc221359236"/>
      <w:r w:rsidRPr="009E2717">
        <w:rPr>
          <w:rFonts w:eastAsia="PMingLiU" w:hint="eastAsia"/>
          <w:sz w:val="22"/>
          <w:szCs w:val="22"/>
          <w:lang w:val="en-US"/>
        </w:rPr>
        <w:t>6. 清廷編修方略的文化意義</w:t>
      </w:r>
      <w:bookmarkEnd w:id="5"/>
    </w:p>
    <w:p w14:paraId="275E557C"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p>
    <w:p w14:paraId="69023702" w14:textId="77777777" w:rsidR="00370634" w:rsidRPr="009E2717" w:rsidRDefault="00370634" w:rsidP="00095109">
      <w:pPr>
        <w:spacing w:after="0" w:line="240" w:lineRule="auto"/>
        <w:jc w:val="both"/>
        <w:rPr>
          <w:rFonts w:ascii="PMingLiU" w:eastAsia="PMingLiU" w:hAnsi="PMingLiU" w:cs="Times New Roman" w:hint="eastAsia"/>
          <w:sz w:val="22"/>
          <w:szCs w:val="22"/>
        </w:rPr>
      </w:pP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hint="eastAsia"/>
          <w:sz w:val="22"/>
          <w:szCs w:val="22"/>
        </w:rPr>
        <w:t>1. 明人盛行刊行奏議集</w:t>
      </w:r>
    </w:p>
    <w:p w14:paraId="1505341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學界很早就已經注意到明人刊行奏議集的流行，不過以往學者大</w:t>
      </w:r>
    </w:p>
    <w:p w14:paraId="03AB896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半強調多人奏議匯編如《皇明疏議輯略》等的彙集，31但其實除了經世</w:t>
      </w:r>
    </w:p>
    <w:p w14:paraId="66C31FB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文類之外，還有以事件為中心的總合編纂，如《朝野申捄疏》等，32顯</w:t>
      </w:r>
    </w:p>
    <w:p w14:paraId="66A48D8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示奏議集在經世致用外，尚有其他文化面向可以再加探討。</w:t>
      </w:r>
    </w:p>
    <w:p w14:paraId="51D5D93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13FB1223" w14:textId="77777777" w:rsidR="00370634" w:rsidRPr="009E2717" w:rsidRDefault="00370634" w:rsidP="00095109">
      <w:pPr>
        <w:spacing w:after="0" w:line="240" w:lineRule="auto"/>
        <w:jc w:val="both"/>
        <w:rPr>
          <w:rFonts w:ascii="PMingLiU" w:eastAsia="PMingLiU" w:hAnsi="PMingLiU" w:cs="Times New Roman"/>
          <w:sz w:val="22"/>
          <w:szCs w:val="22"/>
        </w:rPr>
      </w:pPr>
    </w:p>
    <w:p w14:paraId="21F3858F"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在此所謂明代</w:t>
      </w:r>
    </w:p>
    <w:p w14:paraId="1657854F"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個人奏議集指的是彙集個別官員的奏疏，兼收皇帝敕諭、檄文、諮文</w:t>
      </w:r>
    </w:p>
    <w:p w14:paraId="36A1F0A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等官方文書，有時還有作者的傳記資料，甚至包含書札、題贈詩文等</w:t>
      </w:r>
    </w:p>
    <w:p w14:paraId="7D9B19E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相關文字的合集；少數層級較低的官員，則以部檄等公移文件為主。</w:t>
      </w:r>
    </w:p>
    <w:p w14:paraId="423D92D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4F3695AC" w14:textId="77777777" w:rsidR="00370634" w:rsidRPr="009E2717" w:rsidRDefault="00370634" w:rsidP="00095109">
      <w:pPr>
        <w:spacing w:after="0" w:line="240" w:lineRule="auto"/>
        <w:jc w:val="both"/>
        <w:rPr>
          <w:rFonts w:ascii="PMingLiU" w:eastAsia="PMingLiU" w:hAnsi="PMingLiU" w:cs="Times New Roman"/>
          <w:sz w:val="22"/>
          <w:szCs w:val="22"/>
        </w:rPr>
      </w:pPr>
    </w:p>
    <w:p w14:paraId="7C18CC5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這些數量眾多的個人戰事相關奏議集，可以說正如新近發現也在</w:t>
      </w:r>
    </w:p>
    <w:p w14:paraId="5E63EBD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明代蔚為風潮的宦蹟圖和戰勳圖一樣，79均為當時自我並相互標榜個</w:t>
      </w:r>
    </w:p>
    <w:p w14:paraId="3A5A6C0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人為宦事蹟的官員文化之一環。兩者不論主題、文獻來源、生產機制</w:t>
      </w:r>
    </w:p>
    <w:p w14:paraId="39EFC7E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等都類似，均是以士大夫為官經歷為中心的紀錄，士人的文集也記載</w:t>
      </w:r>
    </w:p>
    <w:p w14:paraId="3ED49D9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大量相關的條目，後者的贊助人與前者的編纂者亦同樣有自己、80僚</w:t>
      </w:r>
    </w:p>
    <w:p w14:paraId="7DAE9E4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屬、81或門人子孫者，82可見都是廣泛流行於士人圈的文化現象。甚至</w:t>
      </w:r>
    </w:p>
    <w:p w14:paraId="2EFB876D"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有少數的例子更集合圖像與文書，共同來突顯個人的政績。</w:t>
      </w:r>
    </w:p>
    <w:p w14:paraId="028734E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1804F5EF" w14:textId="77777777" w:rsidR="00370634" w:rsidRPr="009E2717" w:rsidRDefault="00370634" w:rsidP="00095109">
      <w:pPr>
        <w:spacing w:after="0" w:line="240" w:lineRule="auto"/>
        <w:jc w:val="both"/>
        <w:rPr>
          <w:rFonts w:ascii="PMingLiU" w:eastAsia="PMingLiU" w:hAnsi="PMingLiU" w:cs="Times New Roman"/>
          <w:sz w:val="22"/>
          <w:szCs w:val="22"/>
        </w:rPr>
      </w:pPr>
    </w:p>
    <w:p w14:paraId="115B82E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總的來</w:t>
      </w:r>
    </w:p>
    <w:p w14:paraId="7EB9C7C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看，清代流行的個人戰事相關奏議集，既是承繼明代作為表彰官員的</w:t>
      </w:r>
    </w:p>
    <w:p w14:paraId="38324B2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平臺和記述時事的歷史文本，更成為官員間對話的文化場域，其獨特</w:t>
      </w:r>
    </w:p>
    <w:p w14:paraId="7C78F40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匯集官方文書的體裁而具有檔案權威性的特質亦被突顯，莫怪乎其變</w:t>
      </w:r>
    </w:p>
    <w:p w14:paraId="4737600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化較之明代愈發踵事增華，盛行的程度亦過之而無不及。</w:t>
      </w:r>
    </w:p>
    <w:p w14:paraId="326AD29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471CD41A" w14:textId="77777777" w:rsidR="00370634" w:rsidRPr="009E2717" w:rsidRDefault="00370634" w:rsidP="00095109">
      <w:pPr>
        <w:spacing w:after="0" w:line="240" w:lineRule="auto"/>
        <w:jc w:val="both"/>
        <w:rPr>
          <w:rFonts w:ascii="PMingLiU" w:eastAsia="PMingLiU" w:hAnsi="PMingLiU" w:cs="Times New Roman"/>
          <w:sz w:val="22"/>
          <w:szCs w:val="22"/>
        </w:rPr>
      </w:pPr>
    </w:p>
    <w:p w14:paraId="3801B19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hint="eastAsia"/>
          <w:sz w:val="22"/>
          <w:szCs w:val="22"/>
        </w:rPr>
        <w:t>2. 康熙編修方略，收編漢人文化，建立「文化霸權」</w:t>
      </w:r>
    </w:p>
    <w:p w14:paraId="340737B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康熙宮廷針對特</w:t>
      </w:r>
    </w:p>
    <w:p w14:paraId="13F127FF"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定戰爭、依照時間順序先後、將上諭等宮廷檔案編纂而成的方略，不</w:t>
      </w:r>
    </w:p>
    <w:p w14:paraId="2598242D"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無可能也是轉化士大夫主流文化而來。</w:t>
      </w:r>
    </w:p>
    <w:p w14:paraId="58B0913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08BFADAC" w14:textId="77777777" w:rsidR="00370634" w:rsidRPr="009E2717" w:rsidRDefault="00370634" w:rsidP="00095109">
      <w:pPr>
        <w:spacing w:after="0" w:line="240" w:lineRule="auto"/>
        <w:jc w:val="both"/>
        <w:rPr>
          <w:rFonts w:ascii="PMingLiU" w:eastAsia="PMingLiU" w:hAnsi="PMingLiU" w:cs="Times New Roman"/>
          <w:sz w:val="22"/>
          <w:szCs w:val="22"/>
        </w:rPr>
      </w:pPr>
    </w:p>
    <w:p w14:paraId="3C7645E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清宮收編主流士大夫文化的積極與規模，乃昔所未見，</w:t>
      </w:r>
    </w:p>
    <w:p w14:paraId="20654F8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而可說是滿洲皇帝致力建構的「文化霸權」。</w:t>
      </w:r>
    </w:p>
    <w:p w14:paraId="69A9550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20308720" w14:textId="77777777" w:rsidR="00370634" w:rsidRPr="009E2717" w:rsidRDefault="00370634" w:rsidP="00095109">
      <w:pPr>
        <w:spacing w:after="0" w:line="240" w:lineRule="auto"/>
        <w:jc w:val="both"/>
        <w:rPr>
          <w:rFonts w:ascii="PMingLiU" w:eastAsia="PMingLiU" w:hAnsi="PMingLiU" w:cs="Times New Roman"/>
          <w:sz w:val="22"/>
          <w:szCs w:val="22"/>
        </w:rPr>
      </w:pPr>
    </w:p>
    <w:p w14:paraId="00BCA15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139「文化霸權」(</w:t>
      </w:r>
      <w:proofErr w:type="spellStart"/>
      <w:r w:rsidRPr="009E2717">
        <w:rPr>
          <w:rFonts w:ascii="PMingLiU" w:eastAsia="PMingLiU" w:hAnsi="PMingLiU" w:cs="Times New Roman" w:hint="eastAsia"/>
          <w:sz w:val="22"/>
          <w:szCs w:val="22"/>
        </w:rPr>
        <w:t>culturalhegemony</w:t>
      </w:r>
      <w:proofErr w:type="spellEnd"/>
      <w:r w:rsidRPr="009E2717">
        <w:rPr>
          <w:rFonts w:ascii="PMingLiU" w:eastAsia="PMingLiU" w:hAnsi="PMingLiU" w:cs="Times New Roman" w:hint="eastAsia"/>
          <w:sz w:val="22"/>
          <w:szCs w:val="22"/>
        </w:rPr>
        <w:t>)對歷史學的分析也能有所啟發。141特別</w:t>
      </w:r>
    </w:p>
    <w:p w14:paraId="5F85F10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是統治者如何贏得被支配者對既有社會秩序的共識、如何持續地創造</w:t>
      </w:r>
    </w:p>
    <w:p w14:paraId="307C676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其合法性以維持其支配地位，被支配者又如何參與此合法化其被支配</w:t>
      </w:r>
    </w:p>
    <w:p w14:paraId="2F97686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的共謀之中，以及支配者與被支配者的文化並非界線分明而是可穿透</w:t>
      </w:r>
    </w:p>
    <w:p w14:paraId="5E8E1C8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的等概念，更有助於思考滿洲支配羣體藉由收編中國既有社會價值體</w:t>
      </w:r>
    </w:p>
    <w:p w14:paraId="0CE9355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系中層級居高的文士文化，贏得被支配漢人對原來社會的共識；經其</w:t>
      </w:r>
    </w:p>
    <w:p w14:paraId="69B043B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轉化為各式「御製」、「欽定」宮廷文化，加強以士大夫為首的被支</w:t>
      </w:r>
    </w:p>
    <w:p w14:paraId="2A21A52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配漢人之從屬定位，更強化了皇權在中國本土(</w:t>
      </w:r>
      <w:proofErr w:type="spellStart"/>
      <w:r w:rsidRPr="009E2717">
        <w:rPr>
          <w:rFonts w:ascii="PMingLiU" w:eastAsia="PMingLiU" w:hAnsi="PMingLiU" w:cs="Times New Roman" w:hint="eastAsia"/>
          <w:sz w:val="22"/>
          <w:szCs w:val="22"/>
        </w:rPr>
        <w:t>Chinaproper</w:t>
      </w:r>
      <w:proofErr w:type="spellEnd"/>
      <w:r w:rsidRPr="009E2717">
        <w:rPr>
          <w:rFonts w:ascii="PMingLiU" w:eastAsia="PMingLiU" w:hAnsi="PMingLiU" w:cs="Times New Roman" w:hint="eastAsia"/>
          <w:sz w:val="22"/>
          <w:szCs w:val="22"/>
        </w:rPr>
        <w:t>)社會秩序中</w:t>
      </w:r>
    </w:p>
    <w:p w14:paraId="67C9D0C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至高無上的地位。</w:t>
      </w:r>
    </w:p>
    <w:p w14:paraId="445BA66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0B0ABEA5" w14:textId="77777777" w:rsidR="00370634" w:rsidRPr="009E2717" w:rsidRDefault="00370634" w:rsidP="00095109">
      <w:pPr>
        <w:spacing w:after="0" w:line="240" w:lineRule="auto"/>
        <w:jc w:val="both"/>
        <w:rPr>
          <w:rFonts w:ascii="PMingLiU" w:eastAsia="PMingLiU" w:hAnsi="PMingLiU" w:cs="Times New Roman"/>
          <w:sz w:val="22"/>
          <w:szCs w:val="22"/>
        </w:rPr>
      </w:pPr>
    </w:p>
    <w:p w14:paraId="3640668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清宮方略的編纂，容或也是類似脈絡下轉化明</w:t>
      </w:r>
    </w:p>
    <w:p w14:paraId="5FAA37C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清官員盛行的戰事相關奏議集而來。</w:t>
      </w:r>
    </w:p>
    <w:p w14:paraId="202B05B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2D8631D1" w14:textId="77777777" w:rsidR="00370634" w:rsidRPr="009E2717" w:rsidRDefault="00370634" w:rsidP="00095109">
      <w:pPr>
        <w:spacing w:after="0" w:line="240" w:lineRule="auto"/>
        <w:jc w:val="both"/>
        <w:rPr>
          <w:rFonts w:ascii="PMingLiU" w:eastAsia="PMingLiU" w:hAnsi="PMingLiU" w:cs="Times New Roman"/>
          <w:sz w:val="22"/>
          <w:szCs w:val="22"/>
        </w:rPr>
      </w:pPr>
    </w:p>
    <w:p w14:paraId="1031E29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合而觀之，或可說這些例子展現了乾隆朝以來官員對於清宮方略的回</w:t>
      </w:r>
    </w:p>
    <w:p w14:paraId="64CE6F2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應:不論是被動地接受方略影響或是積極地運用方略體例，他們都不再直接</w:t>
      </w:r>
    </w:p>
    <w:p w14:paraId="5E8B232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出版個人戰事奏議集，而是以「年譜」為名收入奏議，既迴避了與皇帝方略</w:t>
      </w:r>
    </w:p>
    <w:p w14:paraId="1ACF7B6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爭勝和禁止私刻奏疏的規定，又能具體用奏疏宣揚事蹟。</w:t>
      </w:r>
    </w:p>
    <w:p w14:paraId="24BE3D7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3149D627" w14:textId="77777777" w:rsidR="00370634" w:rsidRPr="009E2717" w:rsidRDefault="00370634" w:rsidP="00095109">
      <w:pPr>
        <w:spacing w:after="0" w:line="240" w:lineRule="auto"/>
        <w:jc w:val="both"/>
        <w:rPr>
          <w:rFonts w:ascii="PMingLiU" w:eastAsia="PMingLiU" w:hAnsi="PMingLiU" w:cs="Times New Roman"/>
          <w:sz w:val="22"/>
          <w:szCs w:val="22"/>
        </w:rPr>
      </w:pPr>
    </w:p>
    <w:p w14:paraId="78A965A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清代方略與勳蹟圖相近的官修與私撰間之消長關係，反映了清宮</w:t>
      </w:r>
    </w:p>
    <w:p w14:paraId="15AE204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在收編此類宣揚個人政績的官員文化方面有類似的效果：一旦官方透</w:t>
      </w:r>
    </w:p>
    <w:p w14:paraId="5417E38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過方略對戰事史有了統一的皇權論調，士人也就難以置喙，而逐漸不</w:t>
      </w:r>
    </w:p>
    <w:p w14:paraId="3380BFA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再編纂個人戰事相關奏議集或私撰戰事史；</w:t>
      </w:r>
    </w:p>
    <w:p w14:paraId="6D45756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1CB60DC5" w14:textId="77777777" w:rsidR="00370634" w:rsidRPr="009E2717" w:rsidRDefault="00370634" w:rsidP="00095109">
      <w:pPr>
        <w:spacing w:after="0" w:line="240" w:lineRule="auto"/>
        <w:jc w:val="both"/>
        <w:rPr>
          <w:rFonts w:ascii="PMingLiU" w:eastAsia="PMingLiU" w:hAnsi="PMingLiU" w:cs="Times New Roman" w:hint="eastAsia"/>
          <w:sz w:val="22"/>
          <w:szCs w:val="22"/>
        </w:rPr>
      </w:pPr>
    </w:p>
    <w:p w14:paraId="0F3B032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原來廣泛流行的官員文化莫怪乎只能逐漸銷聲匿跡，而士大夫面對其文化風潮被皇權收編的現實，除了噤若寒蟬外</w:t>
      </w:r>
    </w:p>
    <w:p w14:paraId="65F3C42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恐怕也別無選擇。</w:t>
      </w:r>
    </w:p>
    <w:p w14:paraId="53BA059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2274FC0C" w14:textId="77777777" w:rsidR="00370634" w:rsidRPr="009E2717" w:rsidRDefault="00370634" w:rsidP="00095109">
      <w:pPr>
        <w:spacing w:after="0" w:line="240" w:lineRule="auto"/>
        <w:jc w:val="both"/>
        <w:rPr>
          <w:rFonts w:ascii="PMingLiU" w:eastAsia="PMingLiU" w:hAnsi="PMingLiU" w:cs="Times New Roman"/>
          <w:sz w:val="22"/>
          <w:szCs w:val="22"/>
        </w:rPr>
      </w:pPr>
    </w:p>
    <w:p w14:paraId="7CF626C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hint="eastAsia"/>
          <w:sz w:val="22"/>
          <w:szCs w:val="22"/>
        </w:rPr>
        <w:t>3. 康熙VS乾隆編修方略的不同</w:t>
      </w:r>
    </w:p>
    <w:p w14:paraId="0A3BB3DC" w14:textId="77777777" w:rsidR="00370634" w:rsidRPr="009E2717" w:rsidRDefault="00370634" w:rsidP="00095109">
      <w:pPr>
        <w:spacing w:after="0" w:line="240" w:lineRule="auto"/>
        <w:jc w:val="both"/>
        <w:rPr>
          <w:rFonts w:ascii="PMingLiU" w:eastAsia="PMingLiU" w:hAnsi="PMingLiU" w:cs="Times New Roman"/>
          <w:sz w:val="22"/>
          <w:szCs w:val="22"/>
        </w:rPr>
      </w:pPr>
    </w:p>
    <w:p w14:paraId="2F6FBE8A" w14:textId="77777777" w:rsidR="00370634" w:rsidRPr="009E2717" w:rsidRDefault="00370634" w:rsidP="00095109">
      <w:pPr>
        <w:spacing w:after="0" w:line="240" w:lineRule="auto"/>
        <w:jc w:val="both"/>
        <w:rPr>
          <w:rFonts w:ascii="PMingLiU" w:eastAsia="PMingLiU" w:hAnsi="PMingLiU" w:cs="Times New Roman" w:hint="eastAsia"/>
          <w:sz w:val="22"/>
          <w:szCs w:val="22"/>
        </w:rPr>
      </w:pP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hint="eastAsia"/>
          <w:sz w:val="22"/>
          <w:szCs w:val="22"/>
        </w:rPr>
        <w:t>1. 康熙前期＝個人歌功頌德</w:t>
      </w:r>
    </w:p>
    <w:p w14:paraId="6CED6FC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如果進一步分析康熙朝最早編纂的《平定三逆方略》，也可以看</w:t>
      </w:r>
    </w:p>
    <w:p w14:paraId="6BE5EF3F"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到它和明清標榜個人的戰事相關奏議集類似，只是改以康熙皇帝為中</w:t>
      </w:r>
    </w:p>
    <w:p w14:paraId="6F18288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心，收錄其上諭和相關衙門部議奏摺等，並加上大臣頌揚的按語</w:t>
      </w:r>
    </w:p>
    <w:p w14:paraId="0CD727B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351AA61D" w14:textId="77777777" w:rsidR="00370634" w:rsidRPr="009E2717" w:rsidRDefault="00370634" w:rsidP="00095109">
      <w:pPr>
        <w:spacing w:after="0" w:line="240" w:lineRule="auto"/>
        <w:jc w:val="both"/>
        <w:rPr>
          <w:rFonts w:ascii="PMingLiU" w:eastAsia="PMingLiU" w:hAnsi="PMingLiU" w:cs="Times New Roman"/>
          <w:sz w:val="22"/>
          <w:szCs w:val="22"/>
        </w:rPr>
      </w:pPr>
    </w:p>
    <w:p w14:paraId="5A63873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說明此方略的目的在於記錄康熙指導作戰的神機妙算，</w:t>
      </w:r>
    </w:p>
    <w:p w14:paraId="374648C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1E62DC4D" w14:textId="77777777" w:rsidR="00370634" w:rsidRPr="009E2717" w:rsidRDefault="00370634" w:rsidP="00095109">
      <w:pPr>
        <w:spacing w:after="0" w:line="240" w:lineRule="auto"/>
        <w:jc w:val="both"/>
        <w:rPr>
          <w:rFonts w:ascii="PMingLiU" w:eastAsia="PMingLiU" w:hAnsi="PMingLiU" w:cs="Times New Roman" w:hint="eastAsia"/>
          <w:sz w:val="22"/>
          <w:szCs w:val="22"/>
        </w:rPr>
      </w:pPr>
    </w:p>
    <w:p w14:paraId="51AA3FED"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此外，《平定三逆方略》各卷在依時序羅列上諭的同時，還不時以史論方式插入「臣謹按」</w:t>
      </w:r>
    </w:p>
    <w:p w14:paraId="0B634BA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推崇皇帝與清軍的按語，用來稱頌主角統馭的識見和能力。</w:t>
      </w:r>
    </w:p>
    <w:p w14:paraId="7B5A165D"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4A18DFAD" w14:textId="77777777" w:rsidR="00370634" w:rsidRPr="009E2717" w:rsidRDefault="00370634" w:rsidP="00095109">
      <w:pPr>
        <w:spacing w:after="0" w:line="240" w:lineRule="auto"/>
        <w:jc w:val="both"/>
        <w:rPr>
          <w:rFonts w:ascii="PMingLiU" w:eastAsia="PMingLiU" w:hAnsi="PMingLiU" w:cs="Times New Roman"/>
          <w:sz w:val="22"/>
          <w:szCs w:val="22"/>
        </w:rPr>
      </w:pPr>
    </w:p>
    <w:p w14:paraId="3749CD49" w14:textId="77777777" w:rsidR="00370634" w:rsidRPr="009E2717" w:rsidRDefault="00370634" w:rsidP="00095109">
      <w:pPr>
        <w:spacing w:after="0" w:line="240" w:lineRule="auto"/>
        <w:jc w:val="both"/>
        <w:rPr>
          <w:rFonts w:ascii="PMingLiU" w:eastAsia="PMingLiU" w:hAnsi="PMingLiU" w:cs="Times New Roman" w:hint="eastAsia"/>
          <w:sz w:val="22"/>
          <w:szCs w:val="22"/>
        </w:rPr>
      </w:pP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hint="eastAsia"/>
          <w:sz w:val="22"/>
          <w:szCs w:val="22"/>
        </w:rPr>
        <w:t>2. 康熙後期＝歌頌帝國武功</w:t>
      </w:r>
    </w:p>
    <w:p w14:paraId="2555306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康熙朝方略在歌頌皇帝的面向卻出現相反的發展趨勢。</w:t>
      </w:r>
    </w:p>
    <w:p w14:paraId="502EB2D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2A8EB5C6" w14:textId="77777777" w:rsidR="00370634" w:rsidRPr="009E2717" w:rsidRDefault="00370634" w:rsidP="00095109">
      <w:pPr>
        <w:spacing w:after="0" w:line="240" w:lineRule="auto"/>
        <w:jc w:val="both"/>
        <w:rPr>
          <w:rFonts w:ascii="PMingLiU" w:eastAsia="PMingLiU" w:hAnsi="PMingLiU" w:cs="Times New Roman"/>
          <w:sz w:val="22"/>
          <w:szCs w:val="22"/>
        </w:rPr>
      </w:pPr>
    </w:p>
    <w:p w14:paraId="3FE0291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相對於初期編纂的《平定</w:t>
      </w:r>
    </w:p>
    <w:p w14:paraId="1595787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三逆方略》大量穿插臣屬按語來推崇康熙皇帝，康熙四十七年(1708)輯</w:t>
      </w:r>
    </w:p>
    <w:p w14:paraId="223AC1D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成的《親徵平定朔漠方略》卻大幅降低歌頌的部分，除了卷首〈進方</w:t>
      </w:r>
    </w:p>
    <w:p w14:paraId="432B752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略表〉和卷1開始的說明對康熙皇帝有所頌揚外，157全書既無大臣的</w:t>
      </w:r>
    </w:p>
    <w:p w14:paraId="753A326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序跋，更摒除所有的稱頌按語，回歸按時間先後編排上諭和相關部議</w:t>
      </w:r>
    </w:p>
    <w:p w14:paraId="54ACA66F"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的合集。</w:t>
      </w:r>
    </w:p>
    <w:p w14:paraId="7E79C45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206D4905" w14:textId="77777777" w:rsidR="00370634" w:rsidRPr="009E2717" w:rsidRDefault="00370634" w:rsidP="00095109">
      <w:pPr>
        <w:spacing w:after="0" w:line="240" w:lineRule="auto"/>
        <w:jc w:val="both"/>
        <w:rPr>
          <w:rFonts w:ascii="PMingLiU" w:eastAsia="PMingLiU" w:hAnsi="PMingLiU" w:cs="Times New Roman"/>
          <w:sz w:val="22"/>
          <w:szCs w:val="22"/>
        </w:rPr>
      </w:pPr>
    </w:p>
    <w:p w14:paraId="1B97066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相反的，康熙皇帝對於其武功，卻採取了相當不同的表現策略，</w:t>
      </w:r>
    </w:p>
    <w:p w14:paraId="0BDC8E9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越趨不以他個人為中心。首先，儘管康熙時期官員製作戰勳圖的風潮</w:t>
      </w:r>
    </w:p>
    <w:p w14:paraId="2757A23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有增無減，但康熙院畫卻無此類和他個人武功事蹟緊密連結的圖畫，反</w:t>
      </w:r>
    </w:p>
    <w:p w14:paraId="67F6932F"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倒贊助了12卷的《南巡圖》、刊印《御製避暑山莊詩》等形塑其聖主</w:t>
      </w:r>
    </w:p>
    <w:p w14:paraId="79795A4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仁德形象的大型圖繪計畫，而無意以圖像來宣示其個人戰勳。</w:t>
      </w:r>
    </w:p>
    <w:p w14:paraId="3F8A08D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2D82549C" w14:textId="77777777" w:rsidR="00370634" w:rsidRPr="009E2717" w:rsidRDefault="00370634" w:rsidP="00095109">
      <w:pPr>
        <w:spacing w:after="0" w:line="240" w:lineRule="auto"/>
        <w:jc w:val="both"/>
        <w:rPr>
          <w:rFonts w:ascii="PMingLiU" w:eastAsia="PMingLiU" w:hAnsi="PMingLiU" w:cs="Times New Roman"/>
          <w:sz w:val="22"/>
          <w:szCs w:val="22"/>
        </w:rPr>
      </w:pPr>
    </w:p>
    <w:p w14:paraId="7BF4AE1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這些儀典都不以稱揚皇帝武功為中</w:t>
      </w:r>
    </w:p>
    <w:p w14:paraId="74C7F59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心，而是超越皇帝個人，將平定戰功提升至帝國武勳的層次。換句話</w:t>
      </w:r>
    </w:p>
    <w:p w14:paraId="362542C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說，如果臣民的稱揚有助於襯託康熙文治的聖主光環，新軍事儀典的</w:t>
      </w:r>
    </w:p>
    <w:p w14:paraId="4E7E8FB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建立則昇華其個人戰勳為帝國武功。</w:t>
      </w:r>
    </w:p>
    <w:p w14:paraId="685B989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lastRenderedPageBreak/>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1CFA05DE" w14:textId="77777777" w:rsidR="00370634" w:rsidRPr="009E2717" w:rsidRDefault="00370634" w:rsidP="00095109">
      <w:pPr>
        <w:spacing w:after="0" w:line="240" w:lineRule="auto"/>
        <w:jc w:val="both"/>
        <w:rPr>
          <w:rFonts w:ascii="PMingLiU" w:eastAsia="PMingLiU" w:hAnsi="PMingLiU" w:cs="Times New Roman"/>
          <w:sz w:val="22"/>
          <w:szCs w:val="22"/>
        </w:rPr>
      </w:pPr>
    </w:p>
    <w:p w14:paraId="3EBFD8C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hint="eastAsia"/>
          <w:sz w:val="22"/>
          <w:szCs w:val="22"/>
        </w:rPr>
        <w:t>3. 乾隆＝歌頌個人，個人＝皇帝＝帝國</w:t>
      </w:r>
    </w:p>
    <w:p w14:paraId="60EC674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相對於康熙宮廷選擇性地收編明清標榜官員武勳的文化模式，著</w:t>
      </w:r>
    </w:p>
    <w:p w14:paraId="68428A2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重於建立超越皇帝個人的帝國儀典，乾隆朝則是逐漸轉化戰勳圖和方</w:t>
      </w:r>
    </w:p>
    <w:p w14:paraId="5BBAA39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略的形式和內容</w:t>
      </w:r>
    </w:p>
    <w:p w14:paraId="222335F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3BD94714" w14:textId="77777777" w:rsidR="00370634" w:rsidRPr="009E2717" w:rsidRDefault="00370634" w:rsidP="00095109">
      <w:pPr>
        <w:spacing w:after="0" w:line="240" w:lineRule="auto"/>
        <w:jc w:val="both"/>
        <w:rPr>
          <w:rFonts w:ascii="PMingLiU" w:eastAsia="PMingLiU" w:hAnsi="PMingLiU" w:cs="Times New Roman"/>
          <w:sz w:val="22"/>
          <w:szCs w:val="22"/>
        </w:rPr>
      </w:pPr>
    </w:p>
    <w:p w14:paraId="19888CA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乾隆朝最初修纂的《平定金川方略》就一</w:t>
      </w:r>
    </w:p>
    <w:p w14:paraId="2688B9F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反《親徵平定朔漠方略》而回歸《平定三逆方略》加入臣下按語，並</w:t>
      </w:r>
    </w:p>
    <w:p w14:paraId="6652DD4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在全書26卷的最後以近五分之一的6卷「藝文」，收入御製詩文1卷</w:t>
      </w:r>
    </w:p>
    <w:p w14:paraId="140078A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和諸臣紀功詩文5卷來宣揚皇帝的武勳；而且除了方略原有的上諭和</w:t>
      </w:r>
    </w:p>
    <w:p w14:paraId="7121D33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新增御製詩文對用兵策略等的自我表述外，還加錄乾隆對作戰將軍等</w:t>
      </w:r>
    </w:p>
    <w:p w14:paraId="39B1E84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奏摺的御批，如此「詔諭之指授、章奏之批答」更為全面地呈現乾隆</w:t>
      </w:r>
    </w:p>
    <w:p w14:paraId="79290E9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指導作戰的紀錄。179</w:t>
      </w:r>
    </w:p>
    <w:p w14:paraId="37226B9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3E853493" w14:textId="77777777" w:rsidR="00370634" w:rsidRPr="009E2717" w:rsidRDefault="00370634" w:rsidP="00095109">
      <w:pPr>
        <w:spacing w:after="0" w:line="240" w:lineRule="auto"/>
        <w:jc w:val="both"/>
        <w:rPr>
          <w:rFonts w:ascii="PMingLiU" w:eastAsia="PMingLiU" w:hAnsi="PMingLiU" w:cs="Times New Roman"/>
          <w:sz w:val="22"/>
          <w:szCs w:val="22"/>
        </w:rPr>
      </w:pPr>
    </w:p>
    <w:p w14:paraId="173ECD4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也就是說，相對於康熙</w:t>
      </w:r>
    </w:p>
    <w:p w14:paraId="5F553F5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有所保留地收編明清官員標榜自身武勳的戰勳圖和個人戰事相關奏</w:t>
      </w:r>
    </w:p>
    <w:p w14:paraId="646C72D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議集，一則避免皇帝「個人」的戰勳圖，另則逐漸削弱方略中皇帝的</w:t>
      </w:r>
    </w:p>
    <w:p w14:paraId="2F7F0B8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「個人」色彩，以拉抬「帝國」的重要性；乾隆則全然轉化兩者著重</w:t>
      </w:r>
    </w:p>
    <w:p w14:paraId="37E94CC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個人勳蹟的「個人」部分，將其中的「個人」完全置換為「皇帝」，</w:t>
      </w:r>
    </w:p>
    <w:p w14:paraId="0C340E65"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並將「皇帝」直接等同為「帝國」：乾隆一方面透過帝國軍禮的題材</w:t>
      </w:r>
    </w:p>
    <w:p w14:paraId="4418FBD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和展現王師與敵軍激戰的「中西融合」形式，將「個人」戰勳圖轉化</w:t>
      </w:r>
    </w:p>
    <w:p w14:paraId="0D81C44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為「帝國」戰勳圖以表述帝國武功</w:t>
      </w:r>
    </w:p>
    <w:p w14:paraId="46532CC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7FE9EAD1" w14:textId="77777777" w:rsidR="00370634" w:rsidRPr="009E2717" w:rsidRDefault="00370634" w:rsidP="00095109">
      <w:pPr>
        <w:spacing w:after="0" w:line="240" w:lineRule="auto"/>
        <w:jc w:val="both"/>
        <w:rPr>
          <w:rFonts w:ascii="PMingLiU" w:eastAsia="PMingLiU" w:hAnsi="PMingLiU" w:cs="Times New Roman"/>
          <w:sz w:val="22"/>
          <w:szCs w:val="22"/>
        </w:rPr>
      </w:pPr>
    </w:p>
    <w:p w14:paraId="4BE23EE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康熙方略最早的康熙二十一年(1682)起居注記錄：</w:t>
      </w:r>
    </w:p>
    <w:p w14:paraId="4194CC4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以及後來「大學士、學士隨俸折本面奏請旨：為禮部題，設纂修太祖、</w:t>
      </w:r>
    </w:p>
    <w:p w14:paraId="046CE8B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太宗、世祖聖訓大臣、官員及設編纂皇上八載用兵以來，神威運籌，</w:t>
      </w:r>
    </w:p>
    <w:p w14:paraId="6128FED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凡告諭、密旨，大臣、官員照例賜宴事」，183亦均是將編纂方略和清</w:t>
      </w:r>
    </w:p>
    <w:p w14:paraId="7CC62F3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代歷朝皇帝聖訓的纂修並提，可見方略從一開始就是作為和皇帝有關</w:t>
      </w:r>
    </w:p>
    <w:p w14:paraId="5A0E1D0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的纂輯。</w:t>
      </w:r>
    </w:p>
    <w:p w14:paraId="6A7CA3D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4AA5F9BF" w14:textId="77777777" w:rsidR="00370634" w:rsidRPr="009E2717" w:rsidRDefault="00370634" w:rsidP="00095109">
      <w:pPr>
        <w:spacing w:after="0" w:line="240" w:lineRule="auto"/>
        <w:jc w:val="both"/>
        <w:rPr>
          <w:rFonts w:ascii="PMingLiU" w:eastAsia="PMingLiU" w:hAnsi="PMingLiU" w:cs="Times New Roman"/>
          <w:sz w:val="22"/>
          <w:szCs w:val="22"/>
        </w:rPr>
      </w:pPr>
    </w:p>
    <w:p w14:paraId="5C6AE648" w14:textId="77777777" w:rsidR="00370634" w:rsidRPr="009E2717" w:rsidRDefault="00370634" w:rsidP="00095109">
      <w:pPr>
        <w:spacing w:after="0" w:line="240" w:lineRule="auto"/>
        <w:jc w:val="both"/>
        <w:rPr>
          <w:rFonts w:ascii="PMingLiU" w:eastAsia="PMingLiU" w:hAnsi="PMingLiU" w:cs="Times New Roman"/>
          <w:sz w:val="22"/>
          <w:szCs w:val="22"/>
        </w:rPr>
      </w:pPr>
    </w:p>
    <w:p w14:paraId="0C114674"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br w:type="page"/>
      </w:r>
    </w:p>
    <w:p w14:paraId="0DC89202" w14:textId="569205DA" w:rsidR="00370634" w:rsidRPr="009E2717" w:rsidRDefault="00370634" w:rsidP="00095109">
      <w:pPr>
        <w:pStyle w:val="Heading1"/>
        <w:spacing w:line="240" w:lineRule="auto"/>
        <w:jc w:val="both"/>
        <w:rPr>
          <w:rFonts w:eastAsia="PMingLiU"/>
          <w:sz w:val="22"/>
          <w:szCs w:val="22"/>
          <w:lang w:val="en-US"/>
        </w:rPr>
      </w:pPr>
      <w:r w:rsidRPr="009E2717">
        <w:rPr>
          <w:rFonts w:eastAsia="PMingLiU"/>
          <w:sz w:val="22"/>
          <w:szCs w:val="22"/>
          <w:lang w:val="en-US"/>
        </w:rPr>
        <w:lastRenderedPageBreak/>
        <w:tab/>
      </w:r>
      <w:bookmarkStart w:id="6" w:name="_Toc221359237"/>
      <w:r w:rsidRPr="009E2717">
        <w:rPr>
          <w:rFonts w:eastAsia="PMingLiU" w:hint="eastAsia"/>
          <w:sz w:val="22"/>
          <w:szCs w:val="22"/>
          <w:lang w:val="en-US"/>
        </w:rPr>
        <w:t>7. 方略</w:t>
      </w:r>
      <w:r w:rsidRPr="009E2717">
        <w:rPr>
          <w:rFonts w:eastAsia="PMingLiU" w:hint="eastAsia"/>
          <w:sz w:val="22"/>
          <w:szCs w:val="22"/>
          <w:lang w:val="en-US"/>
        </w:rPr>
        <w:t>的</w:t>
      </w:r>
      <w:r w:rsidRPr="009E2717">
        <w:rPr>
          <w:rFonts w:eastAsia="PMingLiU" w:hint="eastAsia"/>
          <w:sz w:val="22"/>
          <w:szCs w:val="22"/>
          <w:lang w:val="en-US"/>
        </w:rPr>
        <w:t>史料價值</w:t>
      </w:r>
      <w:bookmarkEnd w:id="6"/>
    </w:p>
    <w:p w14:paraId="6295FD3D"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F20F4F0"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1. 記述性史料、遺留性史料之間</w:t>
      </w:r>
    </w:p>
    <w:p w14:paraId="1E61649F"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平定海寇方略》具有多元的史料價值，需要放置在史料批判的脈絡層次中來理解。亦即傳世之正史官書往往係根據未公開之檔案所纂集修改而成，是以深刻的歷史研究，有必要比較檔案與官書間的異同。尤其是中國史上明清兩代，留下數量豐富的檔案史料，故檔案可說是治明清史的第一手史料。</w:t>
      </w:r>
    </w:p>
    <w:p w14:paraId="195DDB8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平定海寇方略》滿漢文本對勘．孔令偉</w:t>
      </w:r>
      <w:r w:rsidRPr="009E2717">
        <w:rPr>
          <w:rFonts w:ascii="PMingLiU" w:eastAsia="PMingLiU" w:hAnsi="PMingLiU" w:cs="Times New Roman" w:hint="eastAsia"/>
          <w:sz w:val="22"/>
          <w:szCs w:val="22"/>
          <w:highlight w:val="yellow"/>
          <w:lang w:val="en-US"/>
        </w:rPr>
        <w:t>，</w:t>
      </w:r>
      <w:r w:rsidRPr="009E2717">
        <w:rPr>
          <w:rFonts w:ascii="PMingLiU" w:eastAsia="PMingLiU" w:hAnsi="PMingLiU" w:cs="Times New Roman" w:hint="eastAsia"/>
          <w:sz w:val="22"/>
          <w:szCs w:val="22"/>
          <w:highlight w:val="yellow"/>
        </w:rPr>
        <w:t>古今論衡，</w:t>
      </w:r>
      <w:r w:rsidRPr="009E2717">
        <w:rPr>
          <w:rFonts w:ascii="PMingLiU" w:eastAsia="PMingLiU" w:hAnsi="PMingLiU" w:cs="Times New Roman"/>
          <w:sz w:val="22"/>
          <w:szCs w:val="22"/>
          <w:highlight w:val="yellow"/>
        </w:rPr>
        <w:t>2023.12</w:t>
      </w:r>
      <w:r w:rsidRPr="009E2717">
        <w:rPr>
          <w:rFonts w:ascii="PMingLiU" w:eastAsia="PMingLiU" w:hAnsi="PMingLiU" w:cs="Times New Roman" w:hint="eastAsia"/>
          <w:sz w:val="22"/>
          <w:szCs w:val="22"/>
          <w:highlight w:val="yellow"/>
        </w:rPr>
        <w:t>第</w:t>
      </w:r>
      <w:r w:rsidRPr="009E2717">
        <w:rPr>
          <w:rFonts w:ascii="PMingLiU" w:eastAsia="PMingLiU" w:hAnsi="PMingLiU" w:cs="Times New Roman" w:hint="eastAsia"/>
          <w:sz w:val="22"/>
          <w:szCs w:val="22"/>
        </w:rPr>
        <w:t>41期</w:t>
      </w:r>
    </w:p>
    <w:p w14:paraId="40BC0451" w14:textId="77777777" w:rsidR="00370634" w:rsidRPr="009E2717" w:rsidRDefault="00370634" w:rsidP="00095109">
      <w:pPr>
        <w:spacing w:after="0" w:line="240" w:lineRule="auto"/>
        <w:jc w:val="both"/>
        <w:rPr>
          <w:rFonts w:ascii="PMingLiU" w:eastAsia="PMingLiU" w:hAnsi="PMingLiU" w:cs="Times New Roman"/>
          <w:sz w:val="22"/>
          <w:szCs w:val="22"/>
        </w:rPr>
      </w:pPr>
    </w:p>
    <w:p w14:paraId="07FE605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進一步言之，史料根據書寫動機以及文本性質，大致可分為兩大類，即記述性史料（〔德〕Tradition）以及遺留性史料（〔德〕</w:t>
      </w:r>
      <w:proofErr w:type="spellStart"/>
      <w:r w:rsidRPr="009E2717">
        <w:rPr>
          <w:rFonts w:ascii="PMingLiU" w:eastAsia="PMingLiU" w:hAnsi="PMingLiU" w:cs="Times New Roman" w:hint="eastAsia"/>
          <w:sz w:val="22"/>
          <w:szCs w:val="22"/>
        </w:rPr>
        <w:t>Überrest</w:t>
      </w:r>
      <w:proofErr w:type="spellEnd"/>
      <w:r w:rsidRPr="009E2717">
        <w:rPr>
          <w:rFonts w:ascii="PMingLiU" w:eastAsia="PMingLiU" w:hAnsi="PMingLiU" w:cs="Times New Roman" w:hint="eastAsia"/>
          <w:sz w:val="22"/>
          <w:szCs w:val="22"/>
        </w:rPr>
        <w:t>）。所謂記述性史料，即具有意識講述、編纂、塑造歷史之目的；至於遺留性史料，則是在歷史事件過程中所形成之殘存物，非以傳授歷史知識為主要目的。埐就重構歷史事實而言，遺留性史料較記述性史料更為原始可靠；</w:t>
      </w:r>
    </w:p>
    <w:p w14:paraId="44C26C9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平定海寇方略》滿漢文本對勘．孔令偉</w:t>
      </w:r>
      <w:r w:rsidRPr="009E2717">
        <w:rPr>
          <w:rFonts w:ascii="PMingLiU" w:eastAsia="PMingLiU" w:hAnsi="PMingLiU" w:cs="Times New Roman" w:hint="eastAsia"/>
          <w:sz w:val="22"/>
          <w:szCs w:val="22"/>
          <w:highlight w:val="yellow"/>
          <w:lang w:val="en-US"/>
        </w:rPr>
        <w:t>，</w:t>
      </w:r>
      <w:r w:rsidRPr="009E2717">
        <w:rPr>
          <w:rFonts w:ascii="PMingLiU" w:eastAsia="PMingLiU" w:hAnsi="PMingLiU" w:cs="Times New Roman" w:hint="eastAsia"/>
          <w:sz w:val="22"/>
          <w:szCs w:val="22"/>
          <w:highlight w:val="yellow"/>
        </w:rPr>
        <w:t>古今論衡，</w:t>
      </w:r>
      <w:r w:rsidRPr="009E2717">
        <w:rPr>
          <w:rFonts w:ascii="PMingLiU" w:eastAsia="PMingLiU" w:hAnsi="PMingLiU" w:cs="Times New Roman"/>
          <w:sz w:val="22"/>
          <w:szCs w:val="22"/>
          <w:highlight w:val="yellow"/>
        </w:rPr>
        <w:t>2023.12</w:t>
      </w:r>
      <w:r w:rsidRPr="009E2717">
        <w:rPr>
          <w:rFonts w:ascii="PMingLiU" w:eastAsia="PMingLiU" w:hAnsi="PMingLiU" w:cs="Times New Roman" w:hint="eastAsia"/>
          <w:sz w:val="22"/>
          <w:szCs w:val="22"/>
          <w:highlight w:val="yellow"/>
        </w:rPr>
        <w:t>第</w:t>
      </w:r>
      <w:r w:rsidRPr="009E2717">
        <w:rPr>
          <w:rFonts w:ascii="PMingLiU" w:eastAsia="PMingLiU" w:hAnsi="PMingLiU" w:cs="Times New Roman" w:hint="eastAsia"/>
          <w:sz w:val="22"/>
          <w:szCs w:val="22"/>
        </w:rPr>
        <w:t>41期</w:t>
      </w:r>
    </w:p>
    <w:p w14:paraId="71CD33F9" w14:textId="77777777" w:rsidR="00370634" w:rsidRPr="009E2717" w:rsidRDefault="00370634" w:rsidP="00095109">
      <w:pPr>
        <w:spacing w:after="0" w:line="240" w:lineRule="auto"/>
        <w:jc w:val="both"/>
        <w:rPr>
          <w:rFonts w:ascii="PMingLiU" w:eastAsia="PMingLiU" w:hAnsi="PMingLiU" w:cs="Times New Roman"/>
          <w:sz w:val="22"/>
          <w:szCs w:val="22"/>
        </w:rPr>
      </w:pPr>
    </w:p>
    <w:p w14:paraId="684FC41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另一方面，通過與遺留性史料相比較，記述性史料亦具有獨特的價值，尤其是探討歷史記憶以及權力敘事等議題。</w:t>
      </w:r>
    </w:p>
    <w:p w14:paraId="572301D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平定海寇方略》滿漢文本對勘．孔令偉</w:t>
      </w:r>
      <w:r w:rsidRPr="009E2717">
        <w:rPr>
          <w:rFonts w:ascii="PMingLiU" w:eastAsia="PMingLiU" w:hAnsi="PMingLiU" w:cs="Times New Roman" w:hint="eastAsia"/>
          <w:sz w:val="22"/>
          <w:szCs w:val="22"/>
          <w:highlight w:val="yellow"/>
          <w:lang w:val="en-US"/>
        </w:rPr>
        <w:t>，</w:t>
      </w:r>
      <w:r w:rsidRPr="009E2717">
        <w:rPr>
          <w:rFonts w:ascii="PMingLiU" w:eastAsia="PMingLiU" w:hAnsi="PMingLiU" w:cs="Times New Roman" w:hint="eastAsia"/>
          <w:sz w:val="22"/>
          <w:szCs w:val="22"/>
          <w:highlight w:val="yellow"/>
        </w:rPr>
        <w:t>古今論衡，</w:t>
      </w:r>
      <w:r w:rsidRPr="009E2717">
        <w:rPr>
          <w:rFonts w:ascii="PMingLiU" w:eastAsia="PMingLiU" w:hAnsi="PMingLiU" w:cs="Times New Roman"/>
          <w:sz w:val="22"/>
          <w:szCs w:val="22"/>
          <w:highlight w:val="yellow"/>
        </w:rPr>
        <w:t>2023.12</w:t>
      </w:r>
      <w:r w:rsidRPr="009E2717">
        <w:rPr>
          <w:rFonts w:ascii="PMingLiU" w:eastAsia="PMingLiU" w:hAnsi="PMingLiU" w:cs="Times New Roman" w:hint="eastAsia"/>
          <w:sz w:val="22"/>
          <w:szCs w:val="22"/>
          <w:highlight w:val="yellow"/>
        </w:rPr>
        <w:t>第</w:t>
      </w:r>
      <w:r w:rsidRPr="009E2717">
        <w:rPr>
          <w:rFonts w:ascii="PMingLiU" w:eastAsia="PMingLiU" w:hAnsi="PMingLiU" w:cs="Times New Roman" w:hint="eastAsia"/>
          <w:sz w:val="22"/>
          <w:szCs w:val="22"/>
        </w:rPr>
        <w:t>41期</w:t>
      </w:r>
    </w:p>
    <w:p w14:paraId="7509B019" w14:textId="77777777" w:rsidR="00370634" w:rsidRPr="009E2717" w:rsidRDefault="00370634" w:rsidP="00095109">
      <w:pPr>
        <w:spacing w:after="0" w:line="240" w:lineRule="auto"/>
        <w:jc w:val="both"/>
        <w:rPr>
          <w:rFonts w:ascii="PMingLiU" w:eastAsia="PMingLiU" w:hAnsi="PMingLiU" w:cs="Times New Roman"/>
          <w:sz w:val="22"/>
          <w:szCs w:val="22"/>
        </w:rPr>
      </w:pPr>
    </w:p>
    <w:p w14:paraId="0FB5B4FB"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值得注意的是，記述性與遺留性史料更像是一組相對概念而非絕對二分，例如就清代史料而言，《清實錄》與檔案二類，則後者較前者更加接近遺留性史料；然若以《清實錄》對照《清史稿》，則前者則又相對接近遺留性史料。</w:t>
      </w:r>
    </w:p>
    <w:p w14:paraId="48ECCB7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《平定海寇方略》滿漢文本對勘．孔令偉</w:t>
      </w:r>
      <w:r w:rsidRPr="009E2717">
        <w:rPr>
          <w:rFonts w:ascii="PMingLiU" w:eastAsia="PMingLiU" w:hAnsi="PMingLiU" w:cs="Times New Roman" w:hint="eastAsia"/>
          <w:sz w:val="22"/>
          <w:szCs w:val="22"/>
          <w:highlight w:val="yellow"/>
          <w:lang w:val="en-US"/>
        </w:rPr>
        <w:t>，</w:t>
      </w:r>
      <w:r w:rsidRPr="009E2717">
        <w:rPr>
          <w:rFonts w:ascii="PMingLiU" w:eastAsia="PMingLiU" w:hAnsi="PMingLiU" w:cs="Times New Roman" w:hint="eastAsia"/>
          <w:sz w:val="22"/>
          <w:szCs w:val="22"/>
          <w:highlight w:val="yellow"/>
        </w:rPr>
        <w:t>古今論衡，</w:t>
      </w:r>
      <w:r w:rsidRPr="009E2717">
        <w:rPr>
          <w:rFonts w:ascii="PMingLiU" w:eastAsia="PMingLiU" w:hAnsi="PMingLiU" w:cs="Times New Roman"/>
          <w:sz w:val="22"/>
          <w:szCs w:val="22"/>
          <w:highlight w:val="yellow"/>
        </w:rPr>
        <w:t>2023.12</w:t>
      </w:r>
      <w:r w:rsidRPr="009E2717">
        <w:rPr>
          <w:rFonts w:ascii="PMingLiU" w:eastAsia="PMingLiU" w:hAnsi="PMingLiU" w:cs="Times New Roman" w:hint="eastAsia"/>
          <w:sz w:val="22"/>
          <w:szCs w:val="22"/>
          <w:highlight w:val="yellow"/>
        </w:rPr>
        <w:t>第</w:t>
      </w:r>
      <w:r w:rsidRPr="009E2717">
        <w:rPr>
          <w:rFonts w:ascii="PMingLiU" w:eastAsia="PMingLiU" w:hAnsi="PMingLiU" w:cs="Times New Roman" w:hint="eastAsia"/>
          <w:sz w:val="22"/>
          <w:szCs w:val="22"/>
        </w:rPr>
        <w:t>41期</w:t>
      </w:r>
    </w:p>
    <w:p w14:paraId="3F4561C0" w14:textId="77777777" w:rsidR="00370634" w:rsidRPr="009E2717" w:rsidRDefault="00370634" w:rsidP="00095109">
      <w:pPr>
        <w:spacing w:after="0" w:line="240" w:lineRule="auto"/>
        <w:jc w:val="both"/>
        <w:rPr>
          <w:rFonts w:ascii="PMingLiU" w:eastAsia="PMingLiU" w:hAnsi="PMingLiU" w:cs="Times New Roman"/>
          <w:sz w:val="22"/>
          <w:szCs w:val="22"/>
        </w:rPr>
      </w:pPr>
    </w:p>
    <w:p w14:paraId="63C3E95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就上述史料層次而言，《平定海寇方略》可以被視為兼具記述性與遺留性之文本，其形成階段介於檔案與實錄之間。換句話說，清朝在徵臺戰役過程中形成公文，這些檔案原本最初並非為撰寫歷史所作，而是歷史事件推進過程中的產物，故具有較強遺留性史料的屬性。在征服臺灣以後，清廷為通過歷史書寫對戰事進行政治定調，搜羅檔案纂集方略，因此方略本身相較檔案，則更接近記述性史料。</w:t>
      </w:r>
    </w:p>
    <w:p w14:paraId="6DDB088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《平定海寇方略》滿漢文本對勘．孔令偉</w:t>
      </w:r>
      <w:r w:rsidRPr="009E2717">
        <w:rPr>
          <w:rFonts w:ascii="PMingLiU" w:eastAsia="PMingLiU" w:hAnsi="PMingLiU" w:cs="Times New Roman" w:hint="eastAsia"/>
          <w:sz w:val="22"/>
          <w:szCs w:val="22"/>
          <w:highlight w:val="yellow"/>
          <w:lang w:val="en-US"/>
        </w:rPr>
        <w:t>，</w:t>
      </w:r>
      <w:r w:rsidRPr="009E2717">
        <w:rPr>
          <w:rFonts w:ascii="PMingLiU" w:eastAsia="PMingLiU" w:hAnsi="PMingLiU" w:cs="Times New Roman" w:hint="eastAsia"/>
          <w:sz w:val="22"/>
          <w:szCs w:val="22"/>
          <w:highlight w:val="yellow"/>
        </w:rPr>
        <w:t>古今論衡，</w:t>
      </w:r>
      <w:r w:rsidRPr="009E2717">
        <w:rPr>
          <w:rFonts w:ascii="PMingLiU" w:eastAsia="PMingLiU" w:hAnsi="PMingLiU" w:cs="Times New Roman"/>
          <w:sz w:val="22"/>
          <w:szCs w:val="22"/>
          <w:highlight w:val="yellow"/>
        </w:rPr>
        <w:t>2023.12</w:t>
      </w:r>
      <w:r w:rsidRPr="009E2717">
        <w:rPr>
          <w:rFonts w:ascii="PMingLiU" w:eastAsia="PMingLiU" w:hAnsi="PMingLiU" w:cs="Times New Roman" w:hint="eastAsia"/>
          <w:sz w:val="22"/>
          <w:szCs w:val="22"/>
          <w:highlight w:val="yellow"/>
        </w:rPr>
        <w:t>第</w:t>
      </w:r>
      <w:r w:rsidRPr="009E2717">
        <w:rPr>
          <w:rFonts w:ascii="PMingLiU" w:eastAsia="PMingLiU" w:hAnsi="PMingLiU" w:cs="Times New Roman" w:hint="eastAsia"/>
          <w:sz w:val="22"/>
          <w:szCs w:val="22"/>
        </w:rPr>
        <w:t>41期</w:t>
      </w:r>
    </w:p>
    <w:p w14:paraId="06E38BD9"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278C518"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2. 檔案＞方略</w:t>
      </w:r>
    </w:p>
    <w:p w14:paraId="4E2E0B93"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p>
    <w:p w14:paraId="577EE8C8"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1. 方略中有對</w:t>
      </w:r>
      <w:r w:rsidRPr="009E2717">
        <w:rPr>
          <w:rFonts w:ascii="PMingLiU" w:eastAsia="PMingLiU" w:hAnsi="PMingLiU" w:cs="Times New Roman" w:hint="eastAsia"/>
          <w:sz w:val="22"/>
          <w:szCs w:val="22"/>
        </w:rPr>
        <w:t>檔案的選擇性編輯</w:t>
      </w:r>
    </w:p>
    <w:p w14:paraId="3AB52D7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另一方面，《平定海寇方略》雖係根據檔案刪節而來，但其體裁亦較檔案更成系統，二者間互相參照，則更能體現清朝官方如何通過歷史書寫重塑歷史記憶之幽微考量。</w:t>
      </w:r>
    </w:p>
    <w:p w14:paraId="539D8B1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《平定海寇方略》滿漢文本對勘．孔令偉</w:t>
      </w:r>
      <w:r w:rsidRPr="009E2717">
        <w:rPr>
          <w:rFonts w:ascii="PMingLiU" w:eastAsia="PMingLiU" w:hAnsi="PMingLiU" w:cs="Times New Roman" w:hint="eastAsia"/>
          <w:sz w:val="22"/>
          <w:szCs w:val="22"/>
          <w:highlight w:val="yellow"/>
          <w:lang w:val="en-US"/>
        </w:rPr>
        <w:t>，</w:t>
      </w:r>
      <w:r w:rsidRPr="009E2717">
        <w:rPr>
          <w:rFonts w:ascii="PMingLiU" w:eastAsia="PMingLiU" w:hAnsi="PMingLiU" w:cs="Times New Roman" w:hint="eastAsia"/>
          <w:sz w:val="22"/>
          <w:szCs w:val="22"/>
          <w:highlight w:val="yellow"/>
        </w:rPr>
        <w:t>古今論衡，</w:t>
      </w:r>
      <w:r w:rsidRPr="009E2717">
        <w:rPr>
          <w:rFonts w:ascii="PMingLiU" w:eastAsia="PMingLiU" w:hAnsi="PMingLiU" w:cs="Times New Roman"/>
          <w:sz w:val="22"/>
          <w:szCs w:val="22"/>
          <w:highlight w:val="yellow"/>
        </w:rPr>
        <w:t>2023.12</w:t>
      </w:r>
      <w:r w:rsidRPr="009E2717">
        <w:rPr>
          <w:rFonts w:ascii="PMingLiU" w:eastAsia="PMingLiU" w:hAnsi="PMingLiU" w:cs="Times New Roman" w:hint="eastAsia"/>
          <w:sz w:val="22"/>
          <w:szCs w:val="22"/>
          <w:highlight w:val="yellow"/>
        </w:rPr>
        <w:t>第</w:t>
      </w:r>
      <w:r w:rsidRPr="009E2717">
        <w:rPr>
          <w:rFonts w:ascii="PMingLiU" w:eastAsia="PMingLiU" w:hAnsi="PMingLiU" w:cs="Times New Roman" w:hint="eastAsia"/>
          <w:sz w:val="22"/>
          <w:szCs w:val="22"/>
        </w:rPr>
        <w:t>41期</w:t>
      </w:r>
    </w:p>
    <w:p w14:paraId="5DEDC3ED" w14:textId="77777777" w:rsidR="00370634" w:rsidRPr="009E2717" w:rsidRDefault="00370634" w:rsidP="00095109">
      <w:pPr>
        <w:spacing w:after="0" w:line="240" w:lineRule="auto"/>
        <w:jc w:val="both"/>
        <w:rPr>
          <w:rFonts w:ascii="PMingLiU" w:eastAsia="PMingLiU" w:hAnsi="PMingLiU" w:cs="Times New Roman"/>
          <w:sz w:val="22"/>
          <w:szCs w:val="22"/>
        </w:rPr>
      </w:pPr>
    </w:p>
    <w:p w14:paraId="05823B62"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就方略的史料編纂來說，濮德培(</w:t>
      </w:r>
      <w:proofErr w:type="spellStart"/>
      <w:r w:rsidRPr="009E2717">
        <w:rPr>
          <w:rFonts w:ascii="PMingLiU" w:eastAsia="PMingLiU" w:hAnsi="PMingLiU" w:cs="Times New Roman" w:hint="eastAsia"/>
          <w:sz w:val="22"/>
          <w:szCs w:val="22"/>
        </w:rPr>
        <w:t>PeterC.Perdue</w:t>
      </w:r>
      <w:proofErr w:type="spellEnd"/>
      <w:r w:rsidRPr="009E2717">
        <w:rPr>
          <w:rFonts w:ascii="PMingLiU" w:eastAsia="PMingLiU" w:hAnsi="PMingLiU" w:cs="Times New Roman" w:hint="eastAsia"/>
          <w:sz w:val="22"/>
          <w:szCs w:val="22"/>
        </w:rPr>
        <w:t>)與白彬菊(BeatriceS.</w:t>
      </w:r>
    </w:p>
    <w:p w14:paraId="702CE1B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Bartlett)發現清代方略有時會對檔案大加編輯，而且軍機處方略館會壓制</w:t>
      </w:r>
    </w:p>
    <w:p w14:paraId="04DCDFE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公佈有些極為祕密往來的奏摺。4</w:t>
      </w:r>
    </w:p>
    <w:p w14:paraId="2886B5CD"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滿洲尚武文化再檢視，以康熙朝創發方略為例，馬雅貞，新史學，三十卷四期，二○一九年</w:t>
      </w:r>
      <w:r w:rsidRPr="009E2717">
        <w:rPr>
          <w:rFonts w:ascii="PMingLiU" w:eastAsia="PMingLiU" w:hAnsi="PMingLiU" w:cs="Times New Roman" w:hint="eastAsia"/>
          <w:sz w:val="22"/>
          <w:szCs w:val="22"/>
        </w:rPr>
        <w:t>十二月</w:t>
      </w:r>
    </w:p>
    <w:p w14:paraId="52F9503D" w14:textId="77777777" w:rsidR="00370634" w:rsidRPr="009E2717" w:rsidRDefault="00370634" w:rsidP="00095109">
      <w:pPr>
        <w:spacing w:after="0" w:line="240" w:lineRule="auto"/>
        <w:jc w:val="both"/>
        <w:rPr>
          <w:rFonts w:ascii="PMingLiU" w:eastAsia="PMingLiU" w:hAnsi="PMingLiU" w:cs="Times New Roman"/>
          <w:sz w:val="22"/>
          <w:szCs w:val="22"/>
        </w:rPr>
      </w:pPr>
    </w:p>
    <w:p w14:paraId="41881B0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這些對清代方略的反思，一方面意識</w:t>
      </w:r>
    </w:p>
    <w:p w14:paraId="1D82112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到方略作為官修史書的特殊性，以及其中對官方文書的選擇性編輯；</w:t>
      </w:r>
    </w:p>
    <w:p w14:paraId="21D983D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滿洲尚武文化再檢視，以康熙朝創發方為例，馬雅貞，新史學，三十卷四期，二○一九年</w:t>
      </w:r>
      <w:r w:rsidRPr="009E2717">
        <w:rPr>
          <w:rFonts w:ascii="PMingLiU" w:eastAsia="PMingLiU" w:hAnsi="PMingLiU" w:cs="Times New Roman" w:hint="eastAsia"/>
          <w:sz w:val="22"/>
          <w:szCs w:val="22"/>
        </w:rPr>
        <w:t>十二月</w:t>
      </w:r>
    </w:p>
    <w:p w14:paraId="30A404E2" w14:textId="77777777" w:rsidR="00370634" w:rsidRPr="009E2717" w:rsidRDefault="00370634" w:rsidP="00095109">
      <w:pPr>
        <w:spacing w:after="0" w:line="240" w:lineRule="auto"/>
        <w:jc w:val="both"/>
        <w:rPr>
          <w:rFonts w:ascii="PMingLiU" w:eastAsia="PMingLiU" w:hAnsi="PMingLiU" w:cs="Times New Roman"/>
          <w:sz w:val="22"/>
          <w:szCs w:val="22"/>
        </w:rPr>
      </w:pPr>
    </w:p>
    <w:p w14:paraId="1F5C1EE8"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1. 例子</w:t>
      </w:r>
    </w:p>
    <w:p w14:paraId="2C1A64B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比較前引二文可知「欽定安南紀略」所錄孫士毅奏摺</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與原摺錄副頗有出入</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文中「正月二十五日」係奉硃批日期</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其原摺具奏日期當在正月初六日</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干支「壬午」係畫一體例</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於修書時填入</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奏摺末幅填註具奏年月日</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例不書寫干支</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原摺例應繕寫具摺事由</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紀略亦因整齊體例而加以刪略</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詞臣奉敕纂修紀略時</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清廷已冊封阮文惠卽阮光平爲安南國王</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所以原摺內所書賊匪字樣</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紀略多經刪略</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或改爲阮惠及敵人字樣</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當阮文惠三陷黎城時</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孫士毅以國體攸關</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不戰先逃</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過江撤回北岸後</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隨卽斬斷浮橋竟置南岸將弁兵丁於不顧</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隨孫士毅遁回者尚有滿洲將領多人</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其怯懦不堪</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尤不可見諸筆墨</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詞臣逐將原摺竄改潤飾</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諱言不戰先逃</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竟謂許世亨再三勸阻</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不令直赴前敵</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且令幹總薛忠牽挽馬韁</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孫士毅雖鞭打喝禁</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薛忠仍不肯放手</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經此潤飾</w:t>
      </w:r>
      <w:r w:rsidRPr="009E2717">
        <w:rPr>
          <w:rFonts w:ascii="PMingLiU" w:eastAsia="PMingLiU" w:hAnsi="PMingLiU" w:cs="Times New Roman"/>
          <w:sz w:val="22"/>
          <w:szCs w:val="22"/>
          <w:lang w:val="en-US"/>
        </w:rPr>
        <w:t>，</w:t>
      </w:r>
      <w:r w:rsidRPr="009E2717">
        <w:rPr>
          <w:rFonts w:ascii="PMingLiU" w:eastAsia="PMingLiU" w:hAnsi="PMingLiU" w:cs="Times New Roman" w:hint="eastAsia"/>
          <w:sz w:val="22"/>
          <w:szCs w:val="22"/>
          <w:lang w:val="en-US"/>
        </w:rPr>
        <w:t>使人誤以孫士毅會誓與此役共存亡〔註一一九〕</w:t>
      </w:r>
    </w:p>
    <w:p w14:paraId="0B970120"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莊吉發，故宮檔案述要，1983，國立</w:t>
      </w:r>
      <w:r w:rsidRPr="009E2717">
        <w:rPr>
          <w:rFonts w:ascii="PMingLiU" w:eastAsia="PMingLiU" w:hAnsi="PMingLiU" w:cs="Times New Roman" w:hint="eastAsia"/>
          <w:sz w:val="22"/>
          <w:szCs w:val="22"/>
          <w:lang w:val="en-US"/>
        </w:rPr>
        <w:t>故宮博物院</w:t>
      </w:r>
    </w:p>
    <w:p w14:paraId="3B12DC07" w14:textId="77777777" w:rsidR="00370634" w:rsidRPr="009E2717" w:rsidRDefault="00370634" w:rsidP="00095109">
      <w:pPr>
        <w:pStyle w:val="Heading4"/>
        <w:spacing w:line="240" w:lineRule="auto"/>
        <w:jc w:val="both"/>
        <w:rPr>
          <w:rFonts w:ascii="PMingLiU" w:eastAsia="PMingLiU" w:hAnsi="PMingLiU"/>
          <w:iCs w:val="0"/>
          <w:szCs w:val="22"/>
          <w:lang w:val="en-US"/>
        </w:rPr>
      </w:pPr>
      <w:r w:rsidRPr="009E2717">
        <w:rPr>
          <w:rFonts w:ascii="PMingLiU" w:eastAsia="PMingLiU" w:hAnsi="PMingLiU"/>
          <w:iCs w:val="0"/>
          <w:szCs w:val="22"/>
          <w:lang w:val="en-US"/>
        </w:rPr>
        <w:tab/>
      </w:r>
      <w:r w:rsidRPr="009E2717">
        <w:rPr>
          <w:rFonts w:ascii="PMingLiU" w:eastAsia="PMingLiU" w:hAnsi="PMingLiU"/>
          <w:iCs w:val="0"/>
          <w:szCs w:val="22"/>
          <w:lang w:val="en-US"/>
        </w:rPr>
        <w:tab/>
      </w:r>
    </w:p>
    <w:p w14:paraId="5D8FC33F"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當然，以上的比較是僅就《平定金川方略》一書而言的，</w:t>
      </w:r>
    </w:p>
    <w:p w14:paraId="6F42256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lastRenderedPageBreak/>
        <w:t>對於其他的《方略》，則要就事論事，不可一概而論。譬如，覃波欽定剿平粵匪方略編纂研究》一文中，提到《欽定剿平粵匪方略》對原檔進行了大量刪改，主要表現在以下幾個方面一將原奏中有關清軍貪生怕死、畏縮後退及官員昏庸無能、棄城潰逃的內容大加刪除。二對官員的某些不光彩行爲刻意加以掩飾，如官員自殺被粉飾爲「因傷身故」。三對於奏摺原件中涉及清軍投降或暗通太平軍的情況，編者往往避而不載。四在材料的選輯上，編者常常採取擇喜不擇憂，或誇大史實的手法。在原檔案中，有一些反映清軍作戰失利的文件，這些多被視爲不可昭示後世而被打入冷宮，或略寫，或不載。相反，所有的前線捷報，均被作爲重要文件而大書特書，編者甚至還故意誇大清軍的戰果，好大喜功思想浸透於字裏行間。五爲維護朝廷政令諭旨的尊嚴，該書將原始上諭中前後矛盾的內容加以掩飾。六將側重太平軍方面的報告棄而不錄。七該書的素材中有編者添加的內容。在刪改原檔的同時，爲彌補史料的不足，纂修官往往要在有關文件內添寫部分史實。</w:t>
      </w:r>
    </w:p>
    <w:p w14:paraId="57A187E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6AE79EA1" w14:textId="77777777" w:rsidR="00370634" w:rsidRPr="009E2717" w:rsidRDefault="00370634" w:rsidP="00095109">
      <w:pPr>
        <w:spacing w:after="0" w:line="240" w:lineRule="auto"/>
        <w:jc w:val="both"/>
        <w:rPr>
          <w:rFonts w:ascii="PMingLiU" w:eastAsia="PMingLiU" w:hAnsi="PMingLiU" w:cs="Times New Roman"/>
          <w:sz w:val="22"/>
          <w:szCs w:val="22"/>
        </w:rPr>
      </w:pPr>
    </w:p>
    <w:p w14:paraId="52BD6E0A" w14:textId="77777777" w:rsidR="00370634" w:rsidRPr="009E2717" w:rsidRDefault="00370634" w:rsidP="00095109">
      <w:pPr>
        <w:spacing w:after="0" w:line="240" w:lineRule="auto"/>
        <w:jc w:val="both"/>
        <w:rPr>
          <w:rFonts w:ascii="PMingLiU" w:eastAsia="PMingLiU" w:hAnsi="PMingLiU" w:cs="Times New Roman"/>
          <w:sz w:val="22"/>
          <w:szCs w:val="22"/>
        </w:rPr>
      </w:pPr>
    </w:p>
    <w:p w14:paraId="48335085" w14:textId="77777777" w:rsidR="00370634" w:rsidRPr="009E2717" w:rsidRDefault="00370634" w:rsidP="00095109">
      <w:pPr>
        <w:spacing w:after="0" w:line="240" w:lineRule="auto"/>
        <w:jc w:val="both"/>
        <w:rPr>
          <w:rFonts w:ascii="PMingLiU" w:eastAsia="PMingLiU" w:hAnsi="PMingLiU" w:cs="Times New Roman" w:hint="eastAsia"/>
          <w:sz w:val="22"/>
          <w:szCs w:val="22"/>
        </w:rPr>
      </w:pP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hint="eastAsia"/>
          <w:sz w:val="22"/>
          <w:szCs w:val="22"/>
        </w:rPr>
        <w:t xml:space="preserve">2. </w:t>
      </w:r>
      <w:r w:rsidRPr="009E2717">
        <w:rPr>
          <w:rFonts w:ascii="PMingLiU" w:eastAsia="PMingLiU" w:hAnsi="PMingLiU" w:cs="Times New Roman" w:hint="eastAsia"/>
          <w:sz w:val="22"/>
          <w:szCs w:val="22"/>
          <w:lang w:val="en-US"/>
        </w:rPr>
        <w:t>檔案的缺點</w:t>
      </w:r>
    </w:p>
    <w:p w14:paraId="73A4E4D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檔案亦有其缺點，譬如，數量上多如牛毛，順序上雜亂無章，不易查找利用，而《平定金川方略》則敘事脈絡清晰，語言表述洗練扼要，便於閱讀和使用。</w:t>
      </w:r>
    </w:p>
    <w:p w14:paraId="17EB125A"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302BB3E1" w14:textId="77777777" w:rsidR="00370634" w:rsidRPr="009E2717" w:rsidRDefault="00370634" w:rsidP="00095109">
      <w:pPr>
        <w:spacing w:after="0" w:line="240" w:lineRule="auto"/>
        <w:jc w:val="both"/>
        <w:rPr>
          <w:rFonts w:ascii="PMingLiU" w:eastAsia="PMingLiU" w:hAnsi="PMingLiU" w:cs="Times New Roman"/>
          <w:sz w:val="22"/>
          <w:szCs w:val="22"/>
        </w:rPr>
      </w:pPr>
    </w:p>
    <w:p w14:paraId="17A08686" w14:textId="77777777" w:rsidR="00370634" w:rsidRPr="009E2717" w:rsidRDefault="00370634" w:rsidP="00095109">
      <w:pPr>
        <w:spacing w:after="0" w:line="240" w:lineRule="auto"/>
        <w:jc w:val="both"/>
        <w:rPr>
          <w:rFonts w:ascii="PMingLiU" w:eastAsia="PMingLiU" w:hAnsi="PMingLiU" w:cs="Times New Roman" w:hint="eastAsia"/>
          <w:sz w:val="22"/>
          <w:szCs w:val="22"/>
        </w:rPr>
      </w:pP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sz w:val="22"/>
          <w:szCs w:val="22"/>
        </w:rPr>
        <w:tab/>
      </w:r>
      <w:r w:rsidRPr="009E2717">
        <w:rPr>
          <w:rFonts w:ascii="PMingLiU" w:eastAsia="PMingLiU" w:hAnsi="PMingLiU" w:cs="Times New Roman" w:hint="eastAsia"/>
          <w:sz w:val="22"/>
          <w:szCs w:val="22"/>
        </w:rPr>
        <w:t>3. 方略的優點</w:t>
      </w:r>
    </w:p>
    <w:p w14:paraId="0455769C"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當然，清代《方略》與原始檔案相比，優勢也很明顯。《方略》把有關檔案按時間順序排比成書，易於查找利用而清代檔案數量多如牛毛，有些雖經整理後，按年月順序成包，但一包之內，諸事均有，往往一事分散見於多包之中，給研究者帶來很大的不便。所以，《方略》是我們研究清代軍事、戰爭史的一種不可缺少的史籍。</w:t>
      </w:r>
    </w:p>
    <w:p w14:paraId="5DB3ED6D"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5AA8559F" w14:textId="77777777" w:rsidR="00370634" w:rsidRPr="009E2717" w:rsidRDefault="00370634" w:rsidP="00095109">
      <w:pPr>
        <w:spacing w:after="0" w:line="240" w:lineRule="auto"/>
        <w:jc w:val="both"/>
        <w:rPr>
          <w:rFonts w:ascii="PMingLiU" w:eastAsia="PMingLiU" w:hAnsi="PMingLiU" w:cs="Times New Roman"/>
          <w:sz w:val="22"/>
          <w:szCs w:val="22"/>
        </w:rPr>
      </w:pPr>
    </w:p>
    <w:p w14:paraId="06E9AB9A" w14:textId="77777777" w:rsidR="00370634" w:rsidRPr="009E2717" w:rsidRDefault="00370634" w:rsidP="00095109">
      <w:pPr>
        <w:spacing w:after="0" w:line="240" w:lineRule="auto"/>
        <w:jc w:val="both"/>
        <w:rPr>
          <w:rFonts w:ascii="PMingLiU" w:eastAsia="PMingLiU" w:hAnsi="PMingLiU" w:cs="Times New Roman" w:hint="eastAsia"/>
          <w:sz w:val="22"/>
          <w:szCs w:val="22"/>
        </w:rPr>
      </w:pPr>
    </w:p>
    <w:p w14:paraId="4D68E99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3. 方略 &gt;實錄</w:t>
      </w:r>
    </w:p>
    <w:p w14:paraId="4CD54979"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清代《方略》書的篇幅較廣，所記史事翔實，較諸《清實錄》更爲詳備。</w:t>
      </w:r>
    </w:p>
    <w:p w14:paraId="2D70931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52C7443A" w14:textId="77777777" w:rsidR="00370634" w:rsidRPr="009E2717" w:rsidRDefault="00370634" w:rsidP="00095109">
      <w:pPr>
        <w:spacing w:after="0" w:line="240" w:lineRule="auto"/>
        <w:jc w:val="both"/>
        <w:rPr>
          <w:rFonts w:ascii="PMingLiU" w:eastAsia="PMingLiU" w:hAnsi="PMingLiU" w:cs="Times New Roman"/>
          <w:sz w:val="22"/>
          <w:szCs w:val="22"/>
        </w:rPr>
      </w:pPr>
    </w:p>
    <w:p w14:paraId="4191365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就目前來看，一方面，學界對《方略》書本身的關注不是很多。筆者所要重點研究的四部</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欽定方略</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均與西北邊疆有關，書中所記載的平叛過程和來往奏摺均較《清實錄》等完備、詳細，甚至於《聖武記》等有關清代邊疆史地的書籍也有許多材料是從《方略》中截取而來。</w:t>
      </w:r>
    </w:p>
    <w:p w14:paraId="7ADF910E"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6DCCCF47" w14:textId="77777777" w:rsidR="00370634" w:rsidRPr="009E2717" w:rsidRDefault="00370634" w:rsidP="00095109">
      <w:pPr>
        <w:spacing w:after="0" w:line="240" w:lineRule="auto"/>
        <w:jc w:val="both"/>
        <w:rPr>
          <w:rFonts w:ascii="PMingLiU" w:eastAsia="PMingLiU" w:hAnsi="PMingLiU" w:cs="Times New Roman"/>
          <w:sz w:val="22"/>
          <w:szCs w:val="22"/>
        </w:rPr>
      </w:pPr>
    </w:p>
    <w:p w14:paraId="6538C71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值得注意的是，通過初步文本對勘，可以發現《清聖祖實錄》中關於對臺戰役的相關記載，在相當程度上參考了刪節過後的《平定海寇方略》。換言之，《平定海寇方略》之滿文底稿，相較於幾經刪節的漢譯本乃至《實錄》，更加接近遺留性史料。</w:t>
      </w:r>
    </w:p>
    <w:p w14:paraId="4E3B61CD"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rPr>
        <w:t>《平定海寇方略》滿漢文本對勘．孔令偉</w:t>
      </w:r>
      <w:r w:rsidRPr="009E2717">
        <w:rPr>
          <w:rFonts w:ascii="PMingLiU" w:eastAsia="PMingLiU" w:hAnsi="PMingLiU" w:cs="Times New Roman" w:hint="eastAsia"/>
          <w:sz w:val="22"/>
          <w:szCs w:val="22"/>
          <w:highlight w:val="yellow"/>
          <w:lang w:val="en-US"/>
        </w:rPr>
        <w:t>，</w:t>
      </w:r>
      <w:r w:rsidRPr="009E2717">
        <w:rPr>
          <w:rFonts w:ascii="PMingLiU" w:eastAsia="PMingLiU" w:hAnsi="PMingLiU" w:cs="Times New Roman" w:hint="eastAsia"/>
          <w:sz w:val="22"/>
          <w:szCs w:val="22"/>
          <w:highlight w:val="yellow"/>
        </w:rPr>
        <w:t>古今論衡，</w:t>
      </w:r>
      <w:r w:rsidRPr="009E2717">
        <w:rPr>
          <w:rFonts w:ascii="PMingLiU" w:eastAsia="PMingLiU" w:hAnsi="PMingLiU" w:cs="Times New Roman"/>
          <w:sz w:val="22"/>
          <w:szCs w:val="22"/>
          <w:highlight w:val="yellow"/>
        </w:rPr>
        <w:t>2023.12</w:t>
      </w:r>
      <w:r w:rsidRPr="009E2717">
        <w:rPr>
          <w:rFonts w:ascii="PMingLiU" w:eastAsia="PMingLiU" w:hAnsi="PMingLiU" w:cs="Times New Roman" w:hint="eastAsia"/>
          <w:sz w:val="22"/>
          <w:szCs w:val="22"/>
          <w:highlight w:val="yellow"/>
        </w:rPr>
        <w:t>第</w:t>
      </w:r>
      <w:r w:rsidRPr="009E2717">
        <w:rPr>
          <w:rFonts w:ascii="PMingLiU" w:eastAsia="PMingLiU" w:hAnsi="PMingLiU" w:cs="Times New Roman" w:hint="eastAsia"/>
          <w:sz w:val="22"/>
          <w:szCs w:val="22"/>
        </w:rPr>
        <w:t>41期</w:t>
      </w:r>
    </w:p>
    <w:p w14:paraId="5723CD23" w14:textId="77777777" w:rsidR="00370634" w:rsidRPr="009E2717" w:rsidRDefault="00370634" w:rsidP="00095109">
      <w:pPr>
        <w:spacing w:after="0" w:line="240" w:lineRule="auto"/>
        <w:jc w:val="both"/>
        <w:rPr>
          <w:rFonts w:ascii="PMingLiU" w:eastAsia="PMingLiU" w:hAnsi="PMingLiU" w:cs="Times New Roman"/>
          <w:sz w:val="22"/>
          <w:szCs w:val="22"/>
        </w:rPr>
      </w:pPr>
    </w:p>
    <w:p w14:paraId="1381A57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再從編纂規制上說，方略總是成書於前，《實錄》總是接踵於後，這就決定了《實錄》有關戰爭的敘述，往往是直接刪簡有關方略而成，詳盡程度顯然也就無法與方略相比。</w:t>
      </w:r>
    </w:p>
    <w:p w14:paraId="6FB663D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「方略」釋義，姚繼榮，安徽教育學院學報，2002年3月，第20卷第2</w:t>
      </w:r>
      <w:r w:rsidRPr="009E2717">
        <w:rPr>
          <w:rFonts w:ascii="PMingLiU" w:eastAsia="PMingLiU" w:hAnsi="PMingLiU" w:cs="Times New Roman" w:hint="eastAsia"/>
          <w:sz w:val="22"/>
          <w:szCs w:val="22"/>
          <w:lang w:val="en-US"/>
        </w:rPr>
        <w:t>期</w:t>
      </w:r>
    </w:p>
    <w:p w14:paraId="4321B248"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7EC15962"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很明顯，二書的記載在內容上非掌相似，但在具體表述方面存在着很大的差異。從體例上，《平定金川方略》先錄紀山的奏疏，奏疏中詳細交代了大金川侵擾鄰封的種種劣跡和督撫的應對之策，並提供自己的意見供皇帝參考。然後，皇帝對此作出批覆，給出一個最終的處理意見，由地方督撫去執行。這樣的記載，使讀者對事件有一個完整的印象，前因後果、發展經過，均一目瞭然。</w:t>
      </w:r>
    </w:p>
    <w:p w14:paraId="5A8EEDA6"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383FEC78"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075F9868"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而在《高宗純皇帝實錄》中，同樣這一事件的記載則要簡略得多。《實錄》中略去了紀山的奏疏，僅錄有乾隆的批覆，雖也提到了大金川爭地作亂一事，但寥寥數字，於其中經過情形，讀者則不得而知，因此，在對整件事情的理解上也不可避免地會受到一些影響</w:t>
      </w:r>
    </w:p>
    <w:p w14:paraId="796674F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6AA227DB"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9DFEDA0"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lastRenderedPageBreak/>
        <w:t>由於受到體例的制約，《高宗純皇帝實錄》對事情的記述往往非常簡略，不能反映出事情的前因後果、變化、發展等情形。實錄》僅勾勒出了事情的經過、大致輪廓，而《方略》則把事情的起因、經過、人物關係以及處理結果等交代得清清楚楚，給讀者一個完整的印象。</w:t>
      </w:r>
    </w:p>
    <w:p w14:paraId="4EABF0A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353B6B11"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43873A73"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還有，如《高宗純皇帝實錄》的《修纂凡例》所言，《實錄》對戰爭的記述是不完整的，它只是截取了《凡例》所規定的戰爭的一些重要方面加以記述，而對於其它的內容，則捨去不載。《方略》則是記載了與戰爭有關的方方面面的內容，比《實錄》的包容量要大得多。</w:t>
      </w:r>
    </w:p>
    <w:p w14:paraId="35DA2E5C"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0E315E6F"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7008817"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第一，史官對史料的熟悉程度。對於方略館的史官而言，作爲軍機大臣，他們原本就對戰爭過程瞭如指掌，又負責有關檔案的保存，對《方略》所應涉及的檔案材料非常熟悉，故編纂《方略》輕車熟路，輕重詳略得當。而對於實錄館的史官而言，由於他們大多不是專職的史官，加上《實錄》涉及的史事紛雜，頭緒衆多，把握和駕馭材料的難度較大，實際操作中難免會有缺陷。</w:t>
      </w:r>
    </w:p>
    <w:p w14:paraId="0A71A3F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44AAEFE6"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CC22FDB"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第二，史官修史的時效性與原創性。《平定金川方略》是當代人修的當代史，而且相關戰事一結束，修史工作立即展開，在時間上與史實最爲接近，最能體現史實最初的面貌和當時的價值觀念，從而更具史料價值。而高宗純皇帝實錄》關於第一次金川之役的記載，修書工作發生在戰爭結束六十年後，己不具有時效性，史官們的記述，大多依據《平定金川方略》簡刪而成，史料價值大大遜色。</w:t>
      </w:r>
    </w:p>
    <w:p w14:paraId="70B2D493"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1791FA86"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644A88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實錄》的史料來源包括一切與先帝相關的檔案、書籍等，自然方略也包括在內。而清代的文字材料浩如煙海，史官讀之不遍，自然有時候也會走捷徑。關於軍事戰爭的記載，己有體制完備的《方略》成書在先，編纂《實錄》時便可直接利用。只需按《編纂凡例》的要求，選取《方略》中有用的材料，在文字上稍加修改潤色，使其符合全書的風格即可。</w:t>
      </w:r>
    </w:p>
    <w:p w14:paraId="2302A960"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3828894A"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0627A55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《方略》的資料來源是清代檔案，在《平定金川方略》一書中，有很多檔案材料幾乎是一字不改地收入該書。</w:t>
      </w:r>
    </w:p>
    <w:p w14:paraId="39FDC83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highlight w:val="yellow"/>
          <w:lang w:val="en-US"/>
        </w:rPr>
        <w:t>清代《方略》研究一一以《平定金川方略》爲個案，周潔，2004武漢大學</w:t>
      </w:r>
      <w:r w:rsidRPr="009E2717">
        <w:rPr>
          <w:rFonts w:ascii="PMingLiU" w:eastAsia="PMingLiU" w:hAnsi="PMingLiU" w:cs="Times New Roman" w:hint="eastAsia"/>
          <w:sz w:val="22"/>
          <w:szCs w:val="22"/>
          <w:lang w:val="en-US"/>
        </w:rPr>
        <w:t>碩士學位論文</w:t>
      </w:r>
    </w:p>
    <w:p w14:paraId="57F63A12"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1C1EB3CF"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p>
    <w:p w14:paraId="60E4DBEC" w14:textId="77777777" w:rsidR="00370634" w:rsidRPr="009E2717" w:rsidRDefault="00370634" w:rsidP="00095109">
      <w:pPr>
        <w:spacing w:after="0" w:line="240" w:lineRule="auto"/>
        <w:jc w:val="both"/>
        <w:rPr>
          <w:rFonts w:ascii="PMingLiU" w:eastAsia="PMingLiU" w:hAnsi="PMingLiU"/>
          <w:sz w:val="22"/>
          <w:szCs w:val="22"/>
          <w:lang w:val="en-US"/>
        </w:rPr>
      </w:pPr>
    </w:p>
    <w:p w14:paraId="46D5D0C3" w14:textId="77777777" w:rsidR="00370634" w:rsidRPr="009E2717" w:rsidRDefault="00370634" w:rsidP="00095109">
      <w:pPr>
        <w:spacing w:after="0" w:line="240" w:lineRule="auto"/>
        <w:jc w:val="both"/>
        <w:rPr>
          <w:rFonts w:ascii="PMingLiU" w:eastAsia="PMingLiU" w:hAnsi="PMingLiU"/>
          <w:sz w:val="22"/>
          <w:szCs w:val="22"/>
          <w:lang w:val="en-US"/>
        </w:rPr>
      </w:pPr>
      <w:r w:rsidRPr="009E2717">
        <w:rPr>
          <w:rFonts w:ascii="PMingLiU" w:eastAsia="PMingLiU" w:hAnsi="PMingLiU"/>
          <w:sz w:val="22"/>
          <w:szCs w:val="22"/>
          <w:lang w:val="en-US"/>
        </w:rPr>
        <w:br w:type="page"/>
      </w:r>
    </w:p>
    <w:p w14:paraId="13B6B57D" w14:textId="77777777" w:rsidR="00370634" w:rsidRPr="009E2717" w:rsidRDefault="00370634" w:rsidP="00095109">
      <w:pPr>
        <w:pStyle w:val="Heading1"/>
        <w:spacing w:line="240" w:lineRule="auto"/>
        <w:jc w:val="both"/>
        <w:rPr>
          <w:rFonts w:eastAsia="PMingLiU"/>
          <w:sz w:val="22"/>
          <w:szCs w:val="22"/>
          <w:lang w:val="en-US"/>
        </w:rPr>
      </w:pPr>
      <w:r w:rsidRPr="009E2717">
        <w:rPr>
          <w:rFonts w:eastAsia="PMingLiU"/>
          <w:sz w:val="22"/>
          <w:szCs w:val="22"/>
          <w:lang w:val="en-US"/>
        </w:rPr>
        <w:lastRenderedPageBreak/>
        <w:tab/>
      </w:r>
      <w:bookmarkStart w:id="7" w:name="_Toc221359238"/>
      <w:r w:rsidRPr="009E2717">
        <w:rPr>
          <w:rFonts w:eastAsia="PMingLiU" w:hint="eastAsia"/>
          <w:sz w:val="22"/>
          <w:szCs w:val="22"/>
          <w:lang w:val="en-US"/>
        </w:rPr>
        <w:t>8. 清代學者對方略的利用</w:t>
      </w:r>
      <w:bookmarkEnd w:id="7"/>
    </w:p>
    <w:p w14:paraId="635D3E6C"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0B30900D"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1. 趙翼《皇朝武功紀盛》</w:t>
      </w:r>
    </w:p>
    <w:p w14:paraId="6112FBE4"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趙翼（１７２７～１８１４），子雲崧，號甌北，是乾嘉學派中的傑出代表。除了《廿二史札記》、《陔餘叢考》和《簷曝雜記》而外，乾隆五十七（１７９２），他還寫了一部清代的戰爭專史，這就是《皇朝武功紀盛》。</w:t>
      </w:r>
    </w:p>
    <w:p w14:paraId="30564A5F"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796FF19B"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694B20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從趙翼的這個自序中，可知他參與了文匯閣《四庫全書》的裝訂事宜，閱讀過《平定三逆方略》、《平定朔漠方略》；旋人為軍機章京，又得以親眼目睹各種方略，還作了不少的筆錄。後來，他佐閩浙總督李佳堯幕，為鎮壓臺灣林爽文起義助籌軍事。他以閱讀方略所作的筆錄，結合自己的親見親歷，撰成《皇朝武功紀盛》一書，凡４卷，包括卷！《平定三逆述略》、《平定朔漠述略》，卷２《平定準噶爾前編述略》、《平定準噶爾正編述略》，卷３《平定緬甸述略》，卷４《平定兩金川述略》、《平定臺灣述略》７個專題。這是清代學者利用方略文獻的最早例子。</w:t>
      </w:r>
    </w:p>
    <w:p w14:paraId="217DC36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70BD331B"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55E8EF7"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綜觀全書，書中的《平定三逆述略》、《平定朔漠述略》、《平定準噶爾前編述略》、《平定準噶爾正編述略》、《平定兩金川述略》５個專題，可知是分別依據《平定三逆方略》、《平定朔漠方略》、《平定準噶爾方略》、《平定金川方略》和《平定兩金川方略》改寫而成的。</w:t>
      </w:r>
    </w:p>
    <w:p w14:paraId="379F72D2"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7B04BB00"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7F86F199"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從趙翼的這些話中不難看出，他在撰寫中所參閱的主要就是方略。從一定意義上說，以相關方略為藍本，這是這部書的一個突出特點。</w:t>
      </w:r>
    </w:p>
    <w:p w14:paraId="76EF6B7F"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59FBDD26"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E5FD7F1"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該書自問世以來，一直受到人們的高度贊譽。一個重要的原因，在於它敘事脈絡清晰，文字簡淨明快，具有很強的可讀性，充分展現了傳統紀事本末體史書的優秀傳統。這是這部書的另一個突出特點。</w:t>
      </w:r>
    </w:p>
    <w:p w14:paraId="2DEC09E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5345869D"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D4A13BF"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另一方面，作為一個有見識的史學家，正如在他的考史名著《廿二史札記》中所做的一樣，在該書中也十分重視史論，提出了許多有價值的重要見解。這些史論既以敘述潛隱於文之中，更以大段文字而明綴於篇之末。這是這部書的又一個突出特點。從總體上說，這些史論具有平實而精到的特點，至今仍值得人們去深入挖掘。</w:t>
      </w:r>
    </w:p>
    <w:p w14:paraId="0DE450A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0AF67DA5"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D3EE328"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lang w:val="en-US"/>
        </w:rPr>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2. 《聖武記》魏源</w:t>
      </w:r>
    </w:p>
    <w:p w14:paraId="609D428E"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魏源（１７９４～１８５７），又名遠達，字默深，是清代傑出的思想家和史學家。他一生中的大多數時間，要麼是當幕僚，要麼是做學問。他的學術興趣，主要是在史學方面，除了《海國圖志》、《元史新編》而外，還有一部清代的戰爭專史，這就是有名的《聖武記》。這部書在鴉片戰爭的炮火中急就成編，反映了他的這樣一種思想：通過研究清朝的興衰歷史，總結出成功經驗與失敗教訓，以輓回國家命運的頹勢。魏源生前，該書主要有道光二十六年（１８４６）刻本；１９８４年中華書局據這個刻本出版的點校本，是目前國內最好的版本。另外，關於魏源之所以要編《聖武記》這部書，從他自己的一段話中亦可窺見他的相關想法。他說：「而方略繁重數百卷。士大夫望洋瞠目，耆宿老將漸盡，其曷以詔後？故臣於是編所載廟算將略、兵形地勢特詳雲。」１魏源在這裡所提到的方略，是那部總計有４０９卷之多的《剿平三省邪匪方略》。顯然，他認為，於內憂外患之際，誰也不可能有閒心去翻閱這樣一類大書，於是他依據這部方略編寫成《嘉慶川湖陝靖寇記》一文。綜觀《聖武記》全書，大體上就是出於這樣的考慮而成編的。《聖武記》全書１４卷，前１０卷，採用紀事本末體，把愛新覺羅氏的崛起、統一東北、人關攻明，直至道光朝的主要戰事，歸納為《開創》、《藩鎮》、《外藩》、《土司苗瑤回民》、《海寇民變兵變》、《教匪》６個專題；後４卷為《武功餘記》，又分為《兵制兵餉》、《掌故考證》、《事功雜述》、《議武》４個專題，是魏源對有關軍事問題的論述。該書的取材十分豐富，有經書、正史、實錄、方略、方誌及各種私人著作，還有他實地訪問來的耆舊傳說。關於該書與方略的關係，主要可從兩個方面來認識。</w:t>
      </w:r>
    </w:p>
    <w:p w14:paraId="0C0F374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3EC94629"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br w:type="page"/>
      </w:r>
    </w:p>
    <w:p w14:paraId="4A956DC8"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r w:rsidRPr="009E2717">
        <w:rPr>
          <w:rFonts w:ascii="PMingLiU" w:eastAsia="PMingLiU" w:hAnsi="PMingLiU" w:cs="Times New Roman"/>
          <w:sz w:val="22"/>
          <w:szCs w:val="22"/>
          <w:lang w:val="en-US"/>
        </w:rPr>
        <w:lastRenderedPageBreak/>
        <w:tab/>
      </w:r>
      <w:r w:rsidRPr="009E2717">
        <w:rPr>
          <w:rFonts w:ascii="PMingLiU" w:eastAsia="PMingLiU" w:hAnsi="PMingLiU" w:cs="Times New Roman"/>
          <w:sz w:val="22"/>
          <w:szCs w:val="22"/>
          <w:lang w:val="en-US"/>
        </w:rPr>
        <w:tab/>
      </w:r>
      <w:r w:rsidRPr="009E2717">
        <w:rPr>
          <w:rFonts w:ascii="PMingLiU" w:eastAsia="PMingLiU" w:hAnsi="PMingLiU" w:cs="Times New Roman" w:hint="eastAsia"/>
          <w:sz w:val="22"/>
          <w:szCs w:val="22"/>
          <w:lang w:val="en-US"/>
        </w:rPr>
        <w:t>3. 王先謙《東華錄》</w:t>
      </w:r>
    </w:p>
    <w:p w14:paraId="61A17828"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王先謙（１８４２～１９１７），字益吾，號葵園。從同治到光緒朝，他歷任翰林院編修、侍講、國子監祭酒，參與了許多史學工作。他利用在國史館任職的便利，輯錄各種資料而成《東華錄》。據王氏自稱，他輯錄資料的大體情況是：凡登載諭旨，恭輯聖訓，方略；編次日月，稽合本紀、實錄；制度沿革纂會典；軍務奏摺取方略；兼載御製詩文，旁稽大臣列傳。１１王先謙：《東華錄》卷《東華續錄跋》，光緒十年（１８８４）上海廣百宋齋校印本。．２３７．從材料採擺上看，該書中所記的皇帝諭旨，有相當一部分是抄自方略的；至於軍務方面的奏摺，則是完全取自於方略的。可見，王氏的《東華錄》，是清代學者利用方略所取得成果的又一個例子。這裡，還值得附帶一提的是《清史稿》。近人朱師轍說：為了編《清史稿》，當年搜訪史料的範圍，包括史館大庫、軍機處檔案、方略館、東華門內內閣大庫、各部檔案及各省督撫署檔案、內務府檔案、內閣存國子監之章奏、京報五六十捆，以及各省的採訪書籍、各省圖書館書目。在史館大庫中，則又包括各朝實錄、起居注、各種方略、國史館滿漢臣工傳、忠義儒林文苑循吏列女等傳，匯錄內外大臣奏疏，天文地理志，各省方誌、各種書簿和各種官制表。１可見，清代的列朝方略是《清史稿》的重要資料來源之一。</w:t>
      </w:r>
    </w:p>
    <w:p w14:paraId="0A8B82F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252B9E1D"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br w:type="page"/>
      </w:r>
    </w:p>
    <w:p w14:paraId="155D7F5A"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lastRenderedPageBreak/>
        <w:tab/>
      </w:r>
      <w:r w:rsidRPr="009E2717">
        <w:rPr>
          <w:rFonts w:ascii="PMingLiU" w:eastAsia="PMingLiU" w:hAnsi="PMingLiU" w:cs="Times New Roman" w:hint="eastAsia"/>
          <w:sz w:val="22"/>
          <w:szCs w:val="22"/>
          <w:lang w:val="en-US"/>
        </w:rPr>
        <w:t>9</w:t>
      </w:r>
      <w:r w:rsidRPr="009E2717">
        <w:rPr>
          <w:rStyle w:val="Heading1Char"/>
          <w:rFonts w:eastAsia="PMingLiU" w:hint="eastAsia"/>
          <w:sz w:val="22"/>
          <w:szCs w:val="22"/>
        </w:rPr>
        <w:t>. 方略與清代軍事史研究</w:t>
      </w:r>
    </w:p>
    <w:p w14:paraId="3EEB57BE"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6591E8C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sz w:val="22"/>
          <w:szCs w:val="22"/>
          <w:lang w:val="en-US"/>
        </w:rPr>
        <w:tab/>
      </w:r>
      <w:r w:rsidRPr="009E2717">
        <w:rPr>
          <w:rFonts w:ascii="PMingLiU" w:eastAsia="PMingLiU" w:hAnsi="PMingLiU"/>
          <w:sz w:val="22"/>
          <w:szCs w:val="22"/>
          <w:lang w:val="en-US"/>
        </w:rPr>
        <w:tab/>
      </w:r>
      <w:r w:rsidRPr="009E2717">
        <w:rPr>
          <w:rFonts w:ascii="PMingLiU" w:eastAsia="PMingLiU" w:hAnsi="PMingLiU" w:cs="Times New Roman" w:hint="eastAsia"/>
          <w:sz w:val="22"/>
          <w:szCs w:val="22"/>
        </w:rPr>
        <w:t>1. 學界對方略的引用較少</w:t>
      </w:r>
    </w:p>
    <w:p w14:paraId="299B91C1"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另一方面，前輩學者撰寫專著和論文時對於</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方略</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的關注程度明顯不夠，其文中更多的是參考《清實錄》、軍機處錄副奏摺等史料。</w:t>
      </w:r>
    </w:p>
    <w:p w14:paraId="503357D4"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5CBD3B21" w14:textId="77777777" w:rsidR="00370634" w:rsidRPr="009E2717" w:rsidRDefault="00370634" w:rsidP="00095109">
      <w:pPr>
        <w:spacing w:after="0" w:line="240" w:lineRule="auto"/>
        <w:jc w:val="both"/>
        <w:rPr>
          <w:rFonts w:ascii="PMingLiU" w:eastAsia="PMingLiU" w:hAnsi="PMingLiU" w:cs="Times New Roman"/>
          <w:sz w:val="22"/>
          <w:szCs w:val="22"/>
        </w:rPr>
      </w:pPr>
    </w:p>
    <w:p w14:paraId="62923608"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hint="eastAsia"/>
          <w:sz w:val="22"/>
          <w:szCs w:val="22"/>
        </w:rPr>
        <w:t>國內外關於清代《方略》書的研究成果還比較匱乏，甚至在論述清代西北邊疆的論文和專著中，對</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方略</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或</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紀略</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的引用也比較有限。究其原因，不排除</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方略</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和</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紀略</w:t>
      </w:r>
      <w:r w:rsidRPr="009E2717">
        <w:rPr>
          <w:rFonts w:ascii="PMingLiU" w:eastAsia="PMingLiU" w:hAnsi="PMingLiU" w:cs="Times New Roman"/>
          <w:sz w:val="22"/>
          <w:szCs w:val="22"/>
        </w:rPr>
        <w:t>」</w:t>
      </w:r>
      <w:r w:rsidRPr="009E2717">
        <w:rPr>
          <w:rFonts w:ascii="PMingLiU" w:eastAsia="PMingLiU" w:hAnsi="PMingLiU" w:cs="Times New Roman" w:hint="eastAsia"/>
          <w:sz w:val="22"/>
          <w:szCs w:val="22"/>
        </w:rPr>
        <w:t>部頭較大、《清實錄》和《起居注》可做替代等原因，但終宄還是對此等紀事本末體史書關注的程度不夠。</w:t>
      </w:r>
    </w:p>
    <w:p w14:paraId="1E2FB0F7" w14:textId="77777777" w:rsidR="00370634" w:rsidRPr="009E2717" w:rsidRDefault="00370634" w:rsidP="00095109">
      <w:pPr>
        <w:spacing w:after="0" w:line="240" w:lineRule="auto"/>
        <w:jc w:val="both"/>
        <w:rPr>
          <w:rFonts w:ascii="PMingLiU" w:eastAsia="PMingLiU" w:hAnsi="PMingLiU" w:cs="Times New Roman"/>
          <w:sz w:val="22"/>
          <w:szCs w:val="22"/>
        </w:rPr>
      </w:pPr>
      <w:r w:rsidRPr="009E2717">
        <w:rPr>
          <w:rFonts w:ascii="PMingLiU" w:eastAsia="PMingLiU" w:hAnsi="PMingLiU" w:cs="Times New Roman"/>
          <w:sz w:val="22"/>
          <w:szCs w:val="22"/>
          <w:highlight w:val="yellow"/>
        </w:rPr>
        <w:t>清代西北邊疆四部《欽定方略》研究_李鵬翔，陝西師範大學，2021博士學位論文</w:t>
      </w:r>
      <w:r w:rsidRPr="009E2717">
        <w:rPr>
          <w:rFonts w:ascii="PMingLiU" w:eastAsia="PMingLiU" w:hAnsi="PMingLiU" w:cs="Times New Roman"/>
          <w:sz w:val="22"/>
          <w:szCs w:val="22"/>
        </w:rPr>
        <w:t>.pdf</w:t>
      </w:r>
    </w:p>
    <w:p w14:paraId="26A4C854" w14:textId="77777777" w:rsidR="00370634" w:rsidRPr="009E2717" w:rsidRDefault="00370634" w:rsidP="00095109">
      <w:pPr>
        <w:spacing w:after="0" w:line="240" w:lineRule="auto"/>
        <w:jc w:val="both"/>
        <w:rPr>
          <w:rFonts w:ascii="PMingLiU" w:eastAsia="PMingLiU" w:hAnsi="PMingLiU" w:cs="Times New Roman" w:hint="eastAsia"/>
          <w:sz w:val="22"/>
          <w:szCs w:val="22"/>
        </w:rPr>
      </w:pPr>
    </w:p>
    <w:p w14:paraId="1AA5F4C4"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作為戰爭專史的，主要有孫文良、李治亭的《明清戰爭史略》，郭汝瑰主編的《中國軍事史》，慕中嶽、武１孟森：《讀清實錄商榷》，《明清史論著集刊》，北京：中華書局，１９５９年版，第６１９頁。·２４０．第七章方略的歷史文獻價值國卿的《中國戰爭史》，高銳主編的《中國軍事史略》，張玉田、陳崇橋、王獻中、王佔國的《中國近代軍事史》，軍事科學院的《中國近代戰爭史》，楊東梁《中國清代軍事史》。另外，臺灣還出版了羅雲的《細說清代戰爭》、莊吉發的《清高宗十全武功研究》、臺灣三軍大學的《中國歷代戰爭史》。日本學者阿南惟敬，還著有《清初軍事史論考》一書。</w:t>
      </w:r>
    </w:p>
    <w:p w14:paraId="6BABCA28"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38776142"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6DAFD10"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但上述這些著作，包括那些戰爭專史，使用方略材料的並不多見。以郭汝瑰主編的《中國軍事史》（二）《兵略》來說，在有關清代戰爭的部分，設有統一女真和爭奪遼東、鄭成功抗清和清統一臺灣、太平天國以及清代海防４個名目，在敘述中沒有使用任何一條方略資料。</w:t>
      </w:r>
    </w:p>
    <w:p w14:paraId="2A2B31B8"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561F30B1"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059BCFC5"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lang w:val="en-US"/>
        </w:rPr>
        <w:t>另以林爽文起義為例，２０世紀８０年代初，劉如仲編有《臺灣林爽文起義》的小冊子。稍後，他與苗學孟編《臺灣林爽文起義資料選編》，收入的是《清實錄》、王氏《東華錄》、臺灣地方誌、碑匾文物資料、筆記、雜記、詩鈔之類私家記述、起義軍文告和供詞，以及歷事官員的傳記資料，這些大致就是先前編《臺灣林爽文起義》的史料依據。但不使用《臺灣紀略》上的材料，不能不說在史料上仍是一個突出的缺陷。</w:t>
      </w:r>
    </w:p>
    <w:p w14:paraId="457E6766" w14:textId="77777777" w:rsidR="00370634" w:rsidRPr="009E2717" w:rsidRDefault="00370634" w:rsidP="00095109">
      <w:pPr>
        <w:spacing w:after="0" w:line="240" w:lineRule="auto"/>
        <w:jc w:val="both"/>
        <w:rPr>
          <w:rFonts w:ascii="PMingLiU" w:eastAsia="PMingLiU" w:hAnsi="PMingLiU" w:cs="Times New Roman"/>
          <w:sz w:val="22"/>
          <w:szCs w:val="22"/>
          <w:lang w:val="en-US"/>
        </w:rPr>
      </w:pPr>
      <w:r w:rsidRPr="009E2717">
        <w:rPr>
          <w:rFonts w:ascii="PMingLiU" w:eastAsia="PMingLiU" w:hAnsi="PMingLiU" w:cs="Times New Roman" w:hint="eastAsia"/>
          <w:sz w:val="22"/>
          <w:szCs w:val="22"/>
          <w:highlight w:val="yellow"/>
          <w:lang w:val="en-US"/>
        </w:rPr>
        <w:t>《清代方略研究》，姚繼榮，2006年，</w:t>
      </w:r>
      <w:r w:rsidRPr="009E2717">
        <w:rPr>
          <w:rFonts w:ascii="PMingLiU" w:eastAsia="PMingLiU" w:hAnsi="PMingLiU" w:cs="Times New Roman" w:hint="eastAsia"/>
          <w:sz w:val="22"/>
          <w:szCs w:val="22"/>
          <w:lang w:val="en-US"/>
        </w:rPr>
        <w:t>西苑出版社</w:t>
      </w:r>
    </w:p>
    <w:p w14:paraId="1D517BB0"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5A02DB4A"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3AA3833E"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2DEEC7CD" w14:textId="049E0CF0" w:rsidR="009E2717" w:rsidRPr="009E2717" w:rsidRDefault="009E2717" w:rsidP="00095109">
      <w:pPr>
        <w:jc w:val="both"/>
        <w:rPr>
          <w:rFonts w:ascii="PMingLiU" w:eastAsia="PMingLiU" w:hAnsi="PMingLiU" w:cs="Times New Roman"/>
          <w:sz w:val="22"/>
          <w:szCs w:val="22"/>
          <w:lang w:val="en-US"/>
        </w:rPr>
      </w:pPr>
      <w:r w:rsidRPr="009E2717">
        <w:rPr>
          <w:rFonts w:ascii="PMingLiU" w:eastAsia="PMingLiU" w:hAnsi="PMingLiU" w:cs="Times New Roman"/>
          <w:sz w:val="22"/>
          <w:szCs w:val="22"/>
          <w:lang w:val="en-US"/>
        </w:rPr>
        <w:br w:type="page"/>
      </w:r>
    </w:p>
    <w:p w14:paraId="3D3547D5" w14:textId="77777777" w:rsidR="00095109" w:rsidRDefault="00095109" w:rsidP="00095109">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sidR="009E2717" w:rsidRPr="009E2717">
        <w:rPr>
          <w:rFonts w:ascii="Times New Roman" w:eastAsia="PMingLiU" w:hAnsi="Times New Roman" w:cs="Times New Roman" w:hint="eastAsia"/>
          <w:sz w:val="22"/>
          <w:szCs w:val="22"/>
        </w:rPr>
        <w:t>第一節方略體裁</w:t>
      </w:r>
    </w:p>
    <w:p w14:paraId="40B9AFE6" w14:textId="77777777" w:rsidR="00E55D95" w:rsidRDefault="00E55D95" w:rsidP="00095109">
      <w:pPr>
        <w:spacing w:after="0" w:line="240" w:lineRule="auto"/>
        <w:jc w:val="both"/>
        <w:rPr>
          <w:rFonts w:ascii="Times New Roman" w:eastAsia="PMingLiU" w:hAnsi="Times New Roman" w:cs="Times New Roman"/>
          <w:sz w:val="22"/>
          <w:szCs w:val="22"/>
        </w:rPr>
      </w:pPr>
    </w:p>
    <w:p w14:paraId="0CDB2F36" w14:textId="668D279E" w:rsidR="00E55D95" w:rsidRDefault="00E55D95" w:rsidP="00095109">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009E2717" w:rsidRPr="009E2717">
        <w:rPr>
          <w:rFonts w:ascii="Times New Roman" w:eastAsia="PMingLiU" w:hAnsi="Times New Roman" w:cs="Times New Roman" w:hint="eastAsia"/>
          <w:sz w:val="22"/>
          <w:szCs w:val="22"/>
        </w:rPr>
        <w:t>與《實錄》的書寫</w:t>
      </w:r>
    </w:p>
    <w:p w14:paraId="3C47C32E"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比較《朔漠方略》兼具紀事本末體與編年體的特徵，另一方面《聖祖實錄》是中國傳統以來即有的「</w:t>
      </w:r>
      <w:r w:rsidRPr="009E2717">
        <w:rPr>
          <w:rFonts w:ascii="Times New Roman" w:eastAsia="BiauKaiHK Regular" w:hAnsi="Times New Roman" w:cs="Times New Roman" w:hint="eastAsia"/>
          <w:sz w:val="22"/>
          <w:szCs w:val="22"/>
        </w:rPr>
        <w:t>實錄</w:t>
      </w:r>
      <w:r w:rsidRPr="009E2717">
        <w:rPr>
          <w:rFonts w:ascii="Times New Roman" w:eastAsia="PMingLiU" w:hAnsi="Times New Roman" w:cs="Times New Roman" w:hint="eastAsia"/>
          <w:sz w:val="22"/>
          <w:szCs w:val="22"/>
        </w:rPr>
        <w:t>」史書體裁，主要是採年月編輯方式的編年體，用來記載一個皇帝在位時的重要政績。亦即，《實錄》的編年體不專以一事為主。《朔漠方略》雖然也是按年月編纂，但是記載的內容卻限縮在處理朔漠的相關事件。</w:t>
      </w:r>
    </w:p>
    <w:p w14:paraId="2817867E"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298F4DE4"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53C55699" w14:textId="77777777" w:rsidR="00E55D95" w:rsidRDefault="00E55D95" w:rsidP="00095109">
      <w:pPr>
        <w:spacing w:after="0" w:line="240" w:lineRule="auto"/>
        <w:jc w:val="both"/>
        <w:rPr>
          <w:rFonts w:ascii="Times New Roman" w:eastAsia="PMingLiU" w:hAnsi="Times New Roman" w:cs="Times New Roman"/>
          <w:sz w:val="22"/>
          <w:szCs w:val="22"/>
        </w:rPr>
      </w:pPr>
    </w:p>
    <w:p w14:paraId="18DFBDDD"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《朔漠方略》記載詳細，反觀《聖祖實錄》則較精簡。</w:t>
      </w:r>
    </w:p>
    <w:p w14:paraId="5A837FA1"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01C4341C"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7BC05696" w14:textId="77777777" w:rsidR="00E55D95" w:rsidRDefault="00E55D95" w:rsidP="00095109">
      <w:pPr>
        <w:spacing w:after="0" w:line="240" w:lineRule="auto"/>
        <w:jc w:val="both"/>
        <w:rPr>
          <w:rFonts w:ascii="Times New Roman" w:eastAsia="PMingLiU" w:hAnsi="Times New Roman" w:cs="Times New Roman"/>
          <w:sz w:val="22"/>
          <w:szCs w:val="22"/>
        </w:rPr>
      </w:pPr>
    </w:p>
    <w:p w14:paraId="69F12350"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換言之，《朔漠方略》多為較完整的將整段奏疏抄錄，甚至是官員姓名、會議過程等，更注重檔案的記錄；而《聖祖實錄》謹記載具奏人及事件，或決定處理的方式，但奏報與過程多不見於《聖祖實錄》，較之於《朔漠方略》，則更為減省的將事件書寫下來。</w:t>
      </w:r>
    </w:p>
    <w:p w14:paraId="62E4A401"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7874A270"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69D5E4ED" w14:textId="77777777" w:rsidR="00E55D95" w:rsidRDefault="00E55D95" w:rsidP="00095109">
      <w:pPr>
        <w:spacing w:after="0" w:line="240" w:lineRule="auto"/>
        <w:jc w:val="both"/>
        <w:rPr>
          <w:rFonts w:ascii="Times New Roman" w:eastAsia="PMingLiU" w:hAnsi="Times New Roman" w:cs="Times New Roman"/>
          <w:sz w:val="22"/>
          <w:szCs w:val="22"/>
        </w:rPr>
      </w:pPr>
    </w:p>
    <w:p w14:paraId="700A5EAB" w14:textId="77777777" w:rsidR="00E55D95" w:rsidRDefault="00E55D95" w:rsidP="00095109">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sidR="009E2717" w:rsidRPr="009E2717">
        <w:rPr>
          <w:rFonts w:ascii="Times New Roman" w:eastAsia="PMingLiU" w:hAnsi="Times New Roman" w:cs="Times New Roman" w:hint="eastAsia"/>
          <w:sz w:val="22"/>
          <w:szCs w:val="22"/>
        </w:rPr>
        <w:t>第二節戰事文移</w:t>
      </w:r>
    </w:p>
    <w:p w14:paraId="736E66B6"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戰事文移，所指為戰爭的期間內，各方面的文書往來，其中包括了皇帝的諭旨、臣工的議覆、部院間的平行文書，以及外交文書等。這些檔案主要來自於事件發生當下，為了解決事件，而行政部門或政權之間互相溝通聯繫，所遺留下來的史料。</w:t>
      </w:r>
    </w:p>
    <w:p w14:paraId="6D675464"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301D7F55"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0DF72147" w14:textId="77777777" w:rsidR="00E55D95" w:rsidRDefault="00E55D95" w:rsidP="00095109">
      <w:pPr>
        <w:spacing w:after="0" w:line="240" w:lineRule="auto"/>
        <w:jc w:val="both"/>
        <w:rPr>
          <w:rFonts w:ascii="Times New Roman" w:eastAsia="PMingLiU" w:hAnsi="Times New Roman" w:cs="Times New Roman"/>
          <w:sz w:val="22"/>
          <w:szCs w:val="22"/>
        </w:rPr>
      </w:pPr>
    </w:p>
    <w:p w14:paraId="77BC7BC6"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檔案中並未留這一件奏章，但是從《朔漠方略》中的記載，可以看到從康熙帝出發後，訊息多半也讓皇太子知道，甚至特意要求將重要的軍情讓皇太子得知。由這些訊息，我們可以知道康熙帝親征期間，基本上兩方的文書往來，交換著兩方的重要訊息。也就是說，康熙帝認為皇太子在此時已經足以獨當一面。這樣的肯定，可以從《朔漠方略》內記載其他皇子的待遇來比對。</w:t>
      </w:r>
    </w:p>
    <w:p w14:paraId="14E5560A"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3D2281E5"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30E1AF5E" w14:textId="77777777" w:rsidR="00E55D95" w:rsidRDefault="00E55D95" w:rsidP="00095109">
      <w:pPr>
        <w:spacing w:after="0" w:line="240" w:lineRule="auto"/>
        <w:jc w:val="both"/>
        <w:rPr>
          <w:rFonts w:ascii="Times New Roman" w:eastAsia="PMingLiU" w:hAnsi="Times New Roman" w:cs="Times New Roman"/>
          <w:sz w:val="22"/>
          <w:szCs w:val="22"/>
        </w:rPr>
      </w:pPr>
    </w:p>
    <w:p w14:paraId="5D610700" w14:textId="77777777" w:rsidR="00E55D95" w:rsidRDefault="00E55D95" w:rsidP="00095109">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sidR="009E2717" w:rsidRPr="009E2717">
        <w:rPr>
          <w:rFonts w:ascii="Times New Roman" w:eastAsia="PMingLiU" w:hAnsi="Times New Roman" w:cs="Times New Roman" w:hint="eastAsia"/>
          <w:sz w:val="22"/>
          <w:szCs w:val="22"/>
        </w:rPr>
        <w:t>（一）時間差異</w:t>
      </w:r>
    </w:p>
    <w:p w14:paraId="0624BE3A"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朔漠方略》是官方主導的修史工程，將檔案繁雜的內容，整理成系統可讀的書籍。那麼若從皇太子的文書來看，檔案如何被記載至《朔漠方略》？我們必須再次注意一方面康熙朝的檔案文書不一定還留，本研究的附錄七「</w:t>
      </w:r>
      <w:r w:rsidRPr="009E2717">
        <w:rPr>
          <w:rFonts w:ascii="Times New Roman" w:eastAsia="BiauKaiHK Regular" w:hAnsi="Times New Roman" w:cs="Times New Roman" w:hint="eastAsia"/>
          <w:sz w:val="22"/>
          <w:szCs w:val="22"/>
        </w:rPr>
        <w:t>康熙三十五年四月史料比對表</w:t>
      </w:r>
      <w:r w:rsidRPr="009E2717">
        <w:rPr>
          <w:rFonts w:ascii="Times New Roman" w:eastAsia="PMingLiU" w:hAnsi="Times New Roman" w:cs="Times New Roman" w:hint="eastAsia"/>
          <w:sz w:val="22"/>
          <w:szCs w:val="22"/>
        </w:rPr>
        <w:t>」；另一方面，由於文件往來需要時間，因此寄出時間、收到時間與回覆時間，參雜著戰事的發生時間，</w:t>
      </w:r>
    </w:p>
    <w:p w14:paraId="4AA26201"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52969D46"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17FEF939" w14:textId="77777777" w:rsidR="00E55D95" w:rsidRDefault="00E55D95" w:rsidP="00095109">
      <w:pPr>
        <w:spacing w:after="0" w:line="240" w:lineRule="auto"/>
        <w:jc w:val="both"/>
        <w:rPr>
          <w:rFonts w:ascii="Times New Roman" w:eastAsia="PMingLiU" w:hAnsi="Times New Roman" w:cs="Times New Roman"/>
          <w:sz w:val="22"/>
          <w:szCs w:val="22"/>
        </w:rPr>
      </w:pPr>
    </w:p>
    <w:p w14:paraId="75959D47" w14:textId="09F28FC4"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部分奏疏缺少時間，或者僅載送出或送達時間，《朔漠方略》編纂時，大量抄錄原文，有助於確定時間。此外，可見《朔漠方略》於編纂時，會將記錄放回書寫或事件發生的時間。</w:t>
      </w:r>
    </w:p>
    <w:p w14:paraId="07BF9E50"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5D291DBB"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2E18D6BB" w14:textId="77777777" w:rsidR="00E55D95" w:rsidRDefault="00E55D95" w:rsidP="00095109">
      <w:pPr>
        <w:spacing w:after="0" w:line="240" w:lineRule="auto"/>
        <w:jc w:val="both"/>
        <w:rPr>
          <w:rFonts w:ascii="Times New Roman" w:eastAsia="PMingLiU" w:hAnsi="Times New Roman" w:cs="Times New Roman"/>
          <w:sz w:val="22"/>
          <w:szCs w:val="22"/>
        </w:rPr>
      </w:pPr>
    </w:p>
    <w:p w14:paraId="31247558" w14:textId="4F1EC51D" w:rsidR="00E55D95" w:rsidRDefault="00E55D95" w:rsidP="00095109">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sidR="009E2717" w:rsidRPr="009E2717">
        <w:rPr>
          <w:rFonts w:ascii="Times New Roman" w:eastAsia="PMingLiU" w:hAnsi="Times New Roman" w:cs="Times New Roman" w:hint="eastAsia"/>
          <w:sz w:val="22"/>
          <w:szCs w:val="22"/>
        </w:rPr>
        <w:t>（二）統一格式</w:t>
      </w:r>
    </w:p>
    <w:p w14:paraId="1C6AF3B3"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將原本行文間放到史書中，會造成文句不清楚的部分做增飾的處理，且修改部分人名、地名，將每一條記事盡可能的統一格式後放入。</w:t>
      </w:r>
    </w:p>
    <w:p w14:paraId="4E13E807"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6CB931C0"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51F6EEF9" w14:textId="77777777" w:rsidR="00E55D95" w:rsidRDefault="00E55D95" w:rsidP="00095109">
      <w:pPr>
        <w:spacing w:after="0" w:line="240" w:lineRule="auto"/>
        <w:jc w:val="both"/>
        <w:rPr>
          <w:rFonts w:ascii="Times New Roman" w:eastAsia="PMingLiU" w:hAnsi="Times New Roman" w:cs="Times New Roman"/>
          <w:sz w:val="22"/>
          <w:szCs w:val="22"/>
        </w:rPr>
      </w:pPr>
    </w:p>
    <w:p w14:paraId="24BC0545" w14:textId="77777777" w:rsidR="00E55D95" w:rsidRDefault="00E55D95" w:rsidP="00095109">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sidR="009E2717" w:rsidRPr="009E2717">
        <w:rPr>
          <w:rFonts w:ascii="Times New Roman" w:eastAsia="PMingLiU" w:hAnsi="Times New Roman" w:cs="Times New Roman" w:hint="eastAsia"/>
          <w:sz w:val="22"/>
          <w:szCs w:val="22"/>
        </w:rPr>
        <w:t>（三）改寫與重複內容的斟酌刪減</w:t>
      </w:r>
    </w:p>
    <w:p w14:paraId="62C0690C"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於此條的例子來看，康熙帝預計返程的時間，被記錄下來，雖然檔案與《朔漠方略》的記載內容相差甚大，但極有可能為史料的來源。檔案明顯比《朔漠方略》有更多的內容，而檔案述送衣物及食物等內容，皆被刪減，也就是說，戰爭暫時結束後，運送的物品是給康熙帝，而非軍需，不合於重要的軍情，而被斟酌刪減的可能性。</w:t>
      </w:r>
    </w:p>
    <w:p w14:paraId="0A8AE7E6"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0DEF23AC"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47D80941" w14:textId="77777777" w:rsidR="00E55D95" w:rsidRDefault="00E55D95" w:rsidP="00095109">
      <w:pPr>
        <w:spacing w:after="0" w:line="240" w:lineRule="auto"/>
        <w:jc w:val="both"/>
        <w:rPr>
          <w:rFonts w:ascii="Times New Roman" w:eastAsia="PMingLiU" w:hAnsi="Times New Roman" w:cs="Times New Roman"/>
          <w:sz w:val="22"/>
          <w:szCs w:val="22"/>
        </w:rPr>
      </w:pPr>
    </w:p>
    <w:p w14:paraId="5ED1BEA9" w14:textId="77777777" w:rsidR="00E55D95" w:rsidRDefault="00E55D95" w:rsidP="00095109">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sidR="009E2717" w:rsidRPr="009E2717">
        <w:rPr>
          <w:rFonts w:ascii="Times New Roman" w:eastAsia="PMingLiU" w:hAnsi="Times New Roman" w:cs="Times New Roman" w:hint="eastAsia"/>
          <w:sz w:val="22"/>
          <w:szCs w:val="22"/>
        </w:rPr>
        <w:t>第三節隨征記錄</w:t>
      </w:r>
    </w:p>
    <w:p w14:paraId="45A6D424"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以往研究論述《方略》的編纂材料來源時，極少提到《起居注冊》。甚至在方甦生的《清內閣庫貯舊檔輯刊》一書中，提及《平定三逆方略》的官方收集資料，也未提及《起居注冊》。直到說明清代編修《朔漠方略》時，才特別提及了起居隨征記注。</w:t>
      </w:r>
    </w:p>
    <w:p w14:paraId="2C25410C"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2C3D2647"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286C4D1F" w14:textId="77777777" w:rsidR="00E55D95" w:rsidRDefault="00E55D95" w:rsidP="00095109">
      <w:pPr>
        <w:spacing w:after="0" w:line="240" w:lineRule="auto"/>
        <w:jc w:val="both"/>
        <w:rPr>
          <w:rFonts w:ascii="Times New Roman" w:eastAsia="PMingLiU" w:hAnsi="Times New Roman" w:cs="Times New Roman"/>
          <w:sz w:val="22"/>
          <w:szCs w:val="22"/>
        </w:rPr>
      </w:pPr>
    </w:p>
    <w:p w14:paraId="2DBCF3E7"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從附錄六所整理《朔漠方略》康熙三十五年（</w:t>
      </w:r>
      <w:r w:rsidRPr="009E2717">
        <w:rPr>
          <w:rFonts w:ascii="Times New Roman" w:eastAsia="PMingLiU" w:hAnsi="Times New Roman" w:cs="Times New Roman" w:hint="eastAsia"/>
          <w:sz w:val="22"/>
          <w:szCs w:val="22"/>
        </w:rPr>
        <w:t>1696</w:t>
      </w:r>
      <w:r w:rsidRPr="009E2717">
        <w:rPr>
          <w:rFonts w:ascii="Times New Roman" w:eastAsia="PMingLiU" w:hAnsi="Times New Roman" w:cs="Times New Roman" w:hint="eastAsia"/>
          <w:sz w:val="22"/>
          <w:szCs w:val="22"/>
        </w:rPr>
        <w:t>）四月的記載，</w:t>
      </w:r>
      <w:r w:rsidRPr="009E2717">
        <w:rPr>
          <w:rFonts w:ascii="Times New Roman" w:eastAsia="PMingLiU" w:hAnsi="Times New Roman" w:cs="Times New Roman" w:hint="eastAsia"/>
          <w:sz w:val="22"/>
          <w:szCs w:val="22"/>
        </w:rPr>
        <w:t>80</w:t>
      </w:r>
      <w:r w:rsidRPr="009E2717">
        <w:rPr>
          <w:rFonts w:ascii="Times New Roman" w:eastAsia="PMingLiU" w:hAnsi="Times New Roman" w:cs="Times New Roman" w:hint="eastAsia"/>
          <w:sz w:val="22"/>
          <w:szCs w:val="22"/>
        </w:rPr>
        <w:t>條中，即有</w:t>
      </w:r>
      <w:r w:rsidRPr="009E2717">
        <w:rPr>
          <w:rFonts w:ascii="Times New Roman" w:eastAsia="PMingLiU" w:hAnsi="Times New Roman" w:cs="Times New Roman" w:hint="eastAsia"/>
          <w:sz w:val="22"/>
          <w:szCs w:val="22"/>
        </w:rPr>
        <w:t>60</w:t>
      </w:r>
      <w:r w:rsidRPr="009E2717">
        <w:rPr>
          <w:rFonts w:ascii="Times New Roman" w:eastAsia="PMingLiU" w:hAnsi="Times New Roman" w:cs="Times New Roman" w:hint="eastAsia"/>
          <w:sz w:val="22"/>
          <w:szCs w:val="22"/>
        </w:rPr>
        <w:t>條出自《起居注冊》，可見《起居注冊》是編纂《朔漠方略》某些部分時的重要史料來源。</w:t>
      </w:r>
    </w:p>
    <w:p w14:paraId="44E5BD55"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3C9D4C9B"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3EED9189" w14:textId="77777777" w:rsidR="00E55D95" w:rsidRDefault="00E55D95" w:rsidP="00095109">
      <w:pPr>
        <w:spacing w:after="0" w:line="240" w:lineRule="auto"/>
        <w:jc w:val="both"/>
        <w:rPr>
          <w:rFonts w:ascii="Times New Roman" w:eastAsia="PMingLiU" w:hAnsi="Times New Roman" w:cs="Times New Roman"/>
          <w:sz w:val="22"/>
          <w:szCs w:val="22"/>
        </w:rPr>
      </w:pPr>
    </w:p>
    <w:p w14:paraId="0FC67026"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《起居注冊》是隨征記注的載體，主要為記載皇帝每日起居、日常辦公等的文書，最晚產生於第二年的年初。寫法依下列順序：皇帝的言行、在京事務的題本、地方事務的題本等次序。</w:t>
      </w:r>
      <w:r w:rsidRPr="009E2717">
        <w:rPr>
          <w:rFonts w:ascii="Times New Roman" w:eastAsia="PMingLiU" w:hAnsi="Times New Roman" w:cs="Times New Roman" w:hint="eastAsia"/>
          <w:sz w:val="22"/>
          <w:szCs w:val="22"/>
        </w:rPr>
        <w:t>38</w:t>
      </w:r>
    </w:p>
    <w:p w14:paraId="4AC92BFC"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22A935A5"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3665D372" w14:textId="77777777" w:rsidR="00E55D95" w:rsidRDefault="00E55D95" w:rsidP="00095109">
      <w:pPr>
        <w:spacing w:after="0" w:line="240" w:lineRule="auto"/>
        <w:jc w:val="both"/>
        <w:rPr>
          <w:rFonts w:ascii="Times New Roman" w:eastAsia="PMingLiU" w:hAnsi="Times New Roman" w:cs="Times New Roman"/>
          <w:sz w:val="22"/>
          <w:szCs w:val="22"/>
        </w:rPr>
      </w:pPr>
    </w:p>
    <w:p w14:paraId="627745E3"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《起居注冊》記載</w:t>
      </w:r>
      <w:r w:rsidR="00E55D95">
        <w:rPr>
          <w:rFonts w:ascii="Times New Roman" w:eastAsia="PMingLiU" w:hAnsi="Times New Roman" w:cs="Times New Roman" w:hint="eastAsia"/>
          <w:sz w:val="22"/>
          <w:szCs w:val="22"/>
        </w:rPr>
        <w:t>了</w:t>
      </w:r>
      <w:r w:rsidRPr="009E2717">
        <w:rPr>
          <w:rFonts w:ascii="Times New Roman" w:eastAsia="PMingLiU" w:hAnsi="Times New Roman" w:cs="Times New Roman" w:hint="eastAsia"/>
          <w:sz w:val="22"/>
          <w:szCs w:val="22"/>
        </w:rPr>
        <w:t>皇帝的每日言行，同時在康熙帝出征的期間，也攜帶了起居注官員，讓《起居注冊》記錄了皇帝每天行進的路程，以及皇帝做的事情，如皇帝請侍衛傳諭了哪些事情，哪些人來朝，與議政大臣會議等，是更為貼近皇帝的記錄，於此期間還記錄了一些大臣們的對話。</w:t>
      </w:r>
    </w:p>
    <w:p w14:paraId="14C10A6E"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4CB9E631"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081A4187" w14:textId="77777777" w:rsidR="00E55D95" w:rsidRDefault="00E55D95" w:rsidP="00095109">
      <w:pPr>
        <w:spacing w:after="0" w:line="240" w:lineRule="auto"/>
        <w:jc w:val="both"/>
        <w:rPr>
          <w:rFonts w:ascii="Times New Roman" w:eastAsia="PMingLiU" w:hAnsi="Times New Roman" w:cs="Times New Roman"/>
          <w:sz w:val="22"/>
          <w:szCs w:val="22"/>
        </w:rPr>
      </w:pPr>
    </w:p>
    <w:p w14:paraId="7BF77EC6"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《起居注冊》雖然會盡可能詳實記錄皇帝親自處理的每項事件，但實際上記載也有部分限制，</w:t>
      </w:r>
    </w:p>
    <w:p w14:paraId="60C766F7"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5CC6074B"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49D8580D" w14:textId="77777777" w:rsidR="00E55D95" w:rsidRDefault="00E55D95" w:rsidP="00095109">
      <w:pPr>
        <w:spacing w:after="0" w:line="240" w:lineRule="auto"/>
        <w:jc w:val="both"/>
        <w:rPr>
          <w:rFonts w:ascii="Times New Roman" w:eastAsia="PMingLiU" w:hAnsi="Times New Roman" w:cs="Times New Roman"/>
          <w:sz w:val="22"/>
          <w:szCs w:val="22"/>
        </w:rPr>
      </w:pPr>
    </w:p>
    <w:p w14:paraId="70397435" w14:textId="77777777" w:rsid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根據《聖祖實錄》於康熙十八年（</w:t>
      </w:r>
      <w:r w:rsidRPr="009E2717">
        <w:rPr>
          <w:rFonts w:ascii="Times New Roman" w:eastAsia="PMingLiU" w:hAnsi="Times New Roman" w:cs="Times New Roman" w:hint="eastAsia"/>
          <w:sz w:val="22"/>
          <w:szCs w:val="22"/>
        </w:rPr>
        <w:t>1679</w:t>
      </w:r>
      <w:r w:rsidRPr="009E2717">
        <w:rPr>
          <w:rFonts w:ascii="Times New Roman" w:eastAsia="PMingLiU" w:hAnsi="Times New Roman" w:cs="Times New Roman" w:hint="eastAsia"/>
          <w:sz w:val="22"/>
          <w:szCs w:val="22"/>
        </w:rPr>
        <w:t>）九月二十二日的記載：諭大學士等，朕每日聽政，一切折出票簽，應商酌者，皆國家切要政務，得失所繫。今後起居注官，除照常記注外，遇有折本啟奏，俱令侍班記注。惟會議機密事情，及召諸臣近前口諭，記注官不必侍班。</w:t>
      </w:r>
      <w:r w:rsidRPr="009E2717">
        <w:rPr>
          <w:rFonts w:ascii="Times New Roman" w:eastAsia="PMingLiU" w:hAnsi="Times New Roman" w:cs="Times New Roman" w:hint="eastAsia"/>
          <w:sz w:val="22"/>
          <w:szCs w:val="22"/>
        </w:rPr>
        <w:t>39</w:t>
      </w:r>
      <w:r w:rsidRPr="009E2717">
        <w:rPr>
          <w:rFonts w:ascii="Times New Roman" w:eastAsia="PMingLiU" w:hAnsi="Times New Roman" w:cs="Times New Roman" w:hint="eastAsia"/>
          <w:sz w:val="22"/>
          <w:szCs w:val="22"/>
        </w:rPr>
        <w:t>由此來看，《起居注冊》除了記注皇帝每日的行程，自康熙十八年（</w:t>
      </w:r>
      <w:r w:rsidRPr="009E2717">
        <w:rPr>
          <w:rFonts w:ascii="Times New Roman" w:eastAsia="PMingLiU" w:hAnsi="Times New Roman" w:cs="Times New Roman" w:hint="eastAsia"/>
          <w:sz w:val="22"/>
          <w:szCs w:val="22"/>
        </w:rPr>
        <w:t>1679</w:t>
      </w:r>
      <w:r w:rsidRPr="009E2717">
        <w:rPr>
          <w:rFonts w:ascii="Times New Roman" w:eastAsia="PMingLiU" w:hAnsi="Times New Roman" w:cs="Times New Roman" w:hint="eastAsia"/>
          <w:sz w:val="22"/>
          <w:szCs w:val="22"/>
        </w:rPr>
        <w:t>）起，還開始將部份奏章等記注在《起居注冊》中，但會議與口諭部分機密的事件，卻不予記錄</w:t>
      </w:r>
    </w:p>
    <w:p w14:paraId="672C117C" w14:textId="77777777" w:rsidR="00E55D95" w:rsidRPr="00095109" w:rsidRDefault="00E55D95" w:rsidP="00E55D95">
      <w:pPr>
        <w:spacing w:after="0" w:line="240" w:lineRule="auto"/>
        <w:jc w:val="both"/>
        <w:rPr>
          <w:rFonts w:ascii="Times New Roman" w:eastAsia="PMingLiU" w:hAnsi="Times New Roman" w:cs="Times New Roman"/>
          <w:sz w:val="22"/>
          <w:szCs w:val="22"/>
          <w:highlight w:val="yellow"/>
        </w:rPr>
      </w:pPr>
      <w:r w:rsidRPr="00095109">
        <w:rPr>
          <w:rFonts w:ascii="Times New Roman" w:eastAsia="PMingLiU" w:hAnsi="Times New Roman" w:cs="Times New Roman" w:hint="eastAsia"/>
          <w:sz w:val="22"/>
          <w:szCs w:val="22"/>
          <w:highlight w:val="yellow"/>
        </w:rPr>
        <w:t>書寫親征：康熙朝《親征平定朔漠方略》纂修探析，</w:t>
      </w:r>
    </w:p>
    <w:p w14:paraId="20A7A208" w14:textId="77777777" w:rsidR="00E55D95" w:rsidRDefault="00E55D95" w:rsidP="00E55D95">
      <w:pPr>
        <w:spacing w:after="0" w:line="240" w:lineRule="auto"/>
        <w:jc w:val="both"/>
        <w:rPr>
          <w:rFonts w:ascii="Times New Roman" w:eastAsia="PMingLiU" w:hAnsi="Times New Roman" w:cs="Times New Roman"/>
          <w:sz w:val="22"/>
          <w:szCs w:val="22"/>
        </w:rPr>
      </w:pPr>
      <w:r w:rsidRPr="00095109">
        <w:rPr>
          <w:rFonts w:ascii="Times New Roman" w:eastAsia="PMingLiU" w:hAnsi="Times New Roman" w:cs="Times New Roman" w:hint="eastAsia"/>
          <w:sz w:val="22"/>
          <w:szCs w:val="22"/>
          <w:highlight w:val="yellow"/>
        </w:rPr>
        <w:t>國立暨南國際大學歷史學系碩士論文，陳宣羽，中華民國</w:t>
      </w:r>
      <w:r w:rsidRPr="00095109">
        <w:rPr>
          <w:rFonts w:ascii="Times New Roman" w:eastAsia="PMingLiU" w:hAnsi="Times New Roman" w:cs="Times New Roman" w:hint="eastAsia"/>
          <w:sz w:val="22"/>
          <w:szCs w:val="22"/>
          <w:highlight w:val="yellow"/>
        </w:rPr>
        <w:t xml:space="preserve"> 106 </w:t>
      </w:r>
      <w:r w:rsidRPr="00095109">
        <w:rPr>
          <w:rFonts w:ascii="Times New Roman" w:eastAsia="PMingLiU" w:hAnsi="Times New Roman" w:cs="Times New Roman" w:hint="eastAsia"/>
          <w:sz w:val="22"/>
          <w:szCs w:val="22"/>
          <w:highlight w:val="yellow"/>
        </w:rPr>
        <w:t>年</w:t>
      </w:r>
      <w:r w:rsidRPr="00095109">
        <w:rPr>
          <w:rFonts w:ascii="Times New Roman" w:eastAsia="PMingLiU" w:hAnsi="Times New Roman" w:cs="Times New Roman" w:hint="eastAsia"/>
          <w:sz w:val="22"/>
          <w:szCs w:val="22"/>
          <w:highlight w:val="yellow"/>
        </w:rPr>
        <w:t xml:space="preserve"> 8</w:t>
      </w:r>
      <w:r w:rsidRPr="00095109">
        <w:rPr>
          <w:rFonts w:ascii="Times New Roman" w:eastAsia="PMingLiU" w:hAnsi="Times New Roman" w:cs="Times New Roman" w:hint="eastAsia"/>
          <w:sz w:val="22"/>
          <w:szCs w:val="22"/>
        </w:rPr>
        <w:t xml:space="preserve"> </w:t>
      </w:r>
      <w:r w:rsidRPr="00095109">
        <w:rPr>
          <w:rFonts w:ascii="Times New Roman" w:eastAsia="PMingLiU" w:hAnsi="Times New Roman" w:cs="Times New Roman" w:hint="eastAsia"/>
          <w:sz w:val="22"/>
          <w:szCs w:val="22"/>
        </w:rPr>
        <w:t>月</w:t>
      </w:r>
      <w:r w:rsidRPr="00095109">
        <w:rPr>
          <w:rFonts w:ascii="Times New Roman" w:eastAsia="PMingLiU" w:hAnsi="Times New Roman" w:cs="Times New Roman" w:hint="eastAsia"/>
          <w:sz w:val="22"/>
          <w:szCs w:val="22"/>
        </w:rPr>
        <w:t>.pdf</w:t>
      </w:r>
    </w:p>
    <w:p w14:paraId="586E3E14" w14:textId="77777777" w:rsidR="00E55D95" w:rsidRDefault="00E55D95" w:rsidP="00095109">
      <w:pPr>
        <w:spacing w:after="0" w:line="240" w:lineRule="auto"/>
        <w:jc w:val="both"/>
        <w:rPr>
          <w:rFonts w:ascii="Times New Roman" w:eastAsia="PMingLiU" w:hAnsi="Times New Roman" w:cs="Times New Roman"/>
          <w:sz w:val="22"/>
          <w:szCs w:val="22"/>
        </w:rPr>
      </w:pPr>
    </w:p>
    <w:p w14:paraId="6B61BC21" w14:textId="77777777" w:rsidR="00E55D95" w:rsidRDefault="00E55D95" w:rsidP="00095109">
      <w:pPr>
        <w:spacing w:after="0" w:line="240" w:lineRule="auto"/>
        <w:jc w:val="both"/>
        <w:rPr>
          <w:rFonts w:ascii="Times New Roman" w:eastAsia="PMingLiU" w:hAnsi="Times New Roman" w:cs="Times New Roman"/>
          <w:sz w:val="22"/>
          <w:szCs w:val="22"/>
        </w:rPr>
      </w:pPr>
      <w:r>
        <w:rPr>
          <w:rFonts w:ascii="Times New Roman" w:eastAsia="BiauKaiHK Regular" w:hAnsi="Times New Roman" w:cs="Times New Roman"/>
          <w:sz w:val="22"/>
          <w:szCs w:val="22"/>
        </w:rPr>
        <w:tab/>
      </w:r>
      <w:r w:rsidR="009E2717" w:rsidRPr="009E2717">
        <w:rPr>
          <w:rFonts w:ascii="Times New Roman" w:eastAsia="PMingLiU" w:hAnsi="Times New Roman" w:cs="Times New Roman" w:hint="eastAsia"/>
          <w:sz w:val="22"/>
          <w:szCs w:val="22"/>
        </w:rPr>
        <w:t>（二）內容的節錄與補充</w:t>
      </w:r>
    </w:p>
    <w:p w14:paraId="767C8B04" w14:textId="1474FA41" w:rsidR="009E2717" w:rsidRPr="00E55D95" w:rsidRDefault="009E2717" w:rsidP="00095109">
      <w:pPr>
        <w:spacing w:after="0" w:line="240" w:lineRule="auto"/>
        <w:jc w:val="both"/>
        <w:rPr>
          <w:rFonts w:ascii="Times New Roman" w:eastAsia="PMingLiU" w:hAnsi="Times New Roman" w:cs="Times New Roman"/>
          <w:sz w:val="22"/>
          <w:szCs w:val="22"/>
        </w:rPr>
      </w:pPr>
      <w:r w:rsidRPr="009E2717">
        <w:rPr>
          <w:rFonts w:ascii="Times New Roman" w:eastAsia="PMingLiU" w:hAnsi="Times New Roman" w:cs="Times New Roman" w:hint="eastAsia"/>
          <w:sz w:val="22"/>
          <w:szCs w:val="22"/>
        </w:rPr>
        <w:t>起居注冊》補充了目前奏疏未能見到的部分，而利用相關記載時，也同奏疏一樣，將記錄改寫成符合史書格式，以及重新處理文句的通順等做法。而《朔漠方略》所記載的內容，比對《起居注冊》時，多數時候能以找到相關的記錄，理由之一，即可能是《起居注冊》在康熙帝與大臣討論重要機密政事時，不予於旁記注的規定，使得《朔漠方略》於編纂時，親身參與戰事，或身為軍政核心的大臣等的纂修官員，似乎有部分關鍵的作用。又於今日奏疏遺失或不得見的情況下，雖然經過改動，但保留了更多當時的相關記錄。</w:t>
      </w:r>
      <w:r w:rsidRPr="009E2717">
        <w:rPr>
          <w:rFonts w:ascii="Times New Roman" w:eastAsia="PMingLiU" w:hAnsi="Times New Roman" w:cs="Times New Roman" w:hint="eastAsia"/>
          <w:sz w:val="22"/>
          <w:szCs w:val="22"/>
        </w:rPr>
        <w:t>74</w:t>
      </w:r>
    </w:p>
    <w:p w14:paraId="3E62FC79" w14:textId="77777777" w:rsidR="00370634" w:rsidRPr="009E2717" w:rsidRDefault="00370634" w:rsidP="00095109">
      <w:pPr>
        <w:spacing w:after="0" w:line="240" w:lineRule="auto"/>
        <w:jc w:val="both"/>
        <w:rPr>
          <w:rFonts w:ascii="PMingLiU" w:eastAsia="PMingLiU" w:hAnsi="PMingLiU" w:cs="Times New Roman"/>
          <w:sz w:val="22"/>
          <w:szCs w:val="22"/>
          <w:lang w:val="en-US"/>
        </w:rPr>
      </w:pPr>
    </w:p>
    <w:p w14:paraId="3C73DAFD" w14:textId="77777777" w:rsidR="00370634" w:rsidRPr="009E2717" w:rsidRDefault="00370634" w:rsidP="00095109">
      <w:pPr>
        <w:spacing w:after="0" w:line="240" w:lineRule="auto"/>
        <w:jc w:val="both"/>
        <w:rPr>
          <w:rFonts w:ascii="PMingLiU" w:eastAsia="PMingLiU" w:hAnsi="PMingLiU" w:cs="Times New Roman" w:hint="eastAsia"/>
          <w:sz w:val="22"/>
          <w:szCs w:val="22"/>
          <w:lang w:val="en-US"/>
        </w:rPr>
      </w:pPr>
    </w:p>
    <w:p w14:paraId="43A4FBBE" w14:textId="77777777" w:rsidR="00370634" w:rsidRPr="009E2717" w:rsidRDefault="00370634" w:rsidP="00095109">
      <w:pPr>
        <w:spacing w:after="0" w:line="240" w:lineRule="auto"/>
        <w:jc w:val="both"/>
        <w:rPr>
          <w:rFonts w:ascii="PMingLiU" w:eastAsia="PMingLiU" w:hAnsi="PMingLiU" w:hint="eastAsia"/>
          <w:sz w:val="22"/>
          <w:szCs w:val="22"/>
          <w:lang w:val="en-US"/>
        </w:rPr>
      </w:pPr>
    </w:p>
    <w:p w14:paraId="2B5A8E14" w14:textId="77777777" w:rsidR="00370634" w:rsidRPr="009E2717" w:rsidRDefault="00370634" w:rsidP="00095109">
      <w:pPr>
        <w:spacing w:after="0" w:line="240" w:lineRule="auto"/>
        <w:jc w:val="both"/>
        <w:rPr>
          <w:rFonts w:ascii="PMingLiU" w:eastAsia="PMingLiU" w:hAnsi="PMingLiU"/>
          <w:sz w:val="22"/>
          <w:szCs w:val="22"/>
        </w:rPr>
      </w:pPr>
    </w:p>
    <w:p w14:paraId="58E6301B" w14:textId="77777777" w:rsidR="00DE33B0" w:rsidRPr="009E2717" w:rsidRDefault="00DE33B0" w:rsidP="00095109">
      <w:pPr>
        <w:pStyle w:val="Heading4"/>
        <w:spacing w:line="240" w:lineRule="auto"/>
        <w:jc w:val="both"/>
        <w:rPr>
          <w:rFonts w:ascii="PMingLiU" w:eastAsia="PMingLiU" w:hAnsi="PMingLiU"/>
          <w:iCs w:val="0"/>
          <w:szCs w:val="22"/>
        </w:rPr>
      </w:pPr>
    </w:p>
    <w:sectPr w:rsidR="00DE33B0" w:rsidRPr="009E2717"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iauKaiHK Regular">
    <w:panose1 w:val="03000500000000000000"/>
    <w:charset w:val="88"/>
    <w:family w:val="script"/>
    <w:pitch w:val="variable"/>
    <w:sig w:usb0="A00002FF" w:usb1="3ACFFDFA" w:usb2="00000016" w:usb3="00000000" w:csb0="0010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34"/>
    <w:rsid w:val="00032F59"/>
    <w:rsid w:val="000476B7"/>
    <w:rsid w:val="00095109"/>
    <w:rsid w:val="000D1AD9"/>
    <w:rsid w:val="001A693B"/>
    <w:rsid w:val="001E4FBD"/>
    <w:rsid w:val="00247536"/>
    <w:rsid w:val="00370634"/>
    <w:rsid w:val="004D16CC"/>
    <w:rsid w:val="004E2153"/>
    <w:rsid w:val="009E2717"/>
    <w:rsid w:val="00B56244"/>
    <w:rsid w:val="00B83FDB"/>
    <w:rsid w:val="00DE33B0"/>
    <w:rsid w:val="00DF0E56"/>
    <w:rsid w:val="00E37EB2"/>
    <w:rsid w:val="00E55D95"/>
    <w:rsid w:val="00F4486D"/>
    <w:rsid w:val="00F7450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8CB7B7A"/>
  <w15:chartTrackingRefBased/>
  <w15:docId w15:val="{E0F60DAF-4973-4C42-88E3-A2089312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634"/>
  </w:style>
  <w:style w:type="paragraph" w:styleId="Heading1">
    <w:name w:val="heading 1"/>
    <w:basedOn w:val="Normal"/>
    <w:next w:val="Normal"/>
    <w:link w:val="Heading1Char"/>
    <w:uiPriority w:val="9"/>
    <w:qFormat/>
    <w:rsid w:val="000D1AD9"/>
    <w:pPr>
      <w:keepNext/>
      <w:keepLines/>
      <w:spacing w:after="0"/>
      <w:outlineLvl w:val="0"/>
    </w:pPr>
    <w:rPr>
      <w:rFonts w:ascii="PMingLiU" w:eastAsiaTheme="majorEastAsia" w:hAnsi="PMingLiU" w:cstheme="majorBidi"/>
      <w:color w:val="000000" w:themeColor="text1"/>
      <w:szCs w:val="40"/>
    </w:rPr>
  </w:style>
  <w:style w:type="paragraph" w:styleId="Heading2">
    <w:name w:val="heading 2"/>
    <w:basedOn w:val="Normal"/>
    <w:next w:val="Normal"/>
    <w:link w:val="Heading2Char"/>
    <w:uiPriority w:val="9"/>
    <w:unhideWhenUsed/>
    <w:qFormat/>
    <w:rsid w:val="000D1AD9"/>
    <w:pPr>
      <w:keepNext/>
      <w:keepLines/>
      <w:spacing w:after="0"/>
      <w:outlineLvl w:val="1"/>
    </w:pPr>
    <w:rPr>
      <w:rFonts w:ascii="PMingLiU" w:eastAsiaTheme="majorEastAsia" w:hAnsi="PMingLiU" w:cstheme="majorBidi"/>
      <w:color w:val="000000" w:themeColor="text1"/>
      <w:sz w:val="22"/>
      <w:szCs w:val="32"/>
    </w:rPr>
  </w:style>
  <w:style w:type="paragraph" w:styleId="Heading3">
    <w:name w:val="heading 3"/>
    <w:basedOn w:val="Normal"/>
    <w:next w:val="Normal"/>
    <w:link w:val="Heading3Char"/>
    <w:uiPriority w:val="9"/>
    <w:unhideWhenUsed/>
    <w:qFormat/>
    <w:rsid w:val="000D1AD9"/>
    <w:pPr>
      <w:keepNext/>
      <w:keepLines/>
      <w:spacing w:after="0"/>
      <w:outlineLvl w:val="2"/>
    </w:pPr>
    <w:rPr>
      <w:rFonts w:asciiTheme="minorEastAsia" w:eastAsiaTheme="majorEastAsia" w:hAnsiTheme="minorEastAsia" w:cstheme="majorBidi"/>
      <w:color w:val="000000" w:themeColor="text1"/>
      <w:sz w:val="22"/>
      <w:szCs w:val="28"/>
    </w:rPr>
  </w:style>
  <w:style w:type="paragraph" w:styleId="Heading4">
    <w:name w:val="heading 4"/>
    <w:basedOn w:val="Normal"/>
    <w:next w:val="Normal"/>
    <w:link w:val="Heading4Char"/>
    <w:uiPriority w:val="9"/>
    <w:unhideWhenUsed/>
    <w:qFormat/>
    <w:rsid w:val="000D1AD9"/>
    <w:pPr>
      <w:keepNext/>
      <w:keepLines/>
      <w:spacing w:after="0"/>
      <w:outlineLvl w:val="3"/>
    </w:pPr>
    <w:rPr>
      <w:rFonts w:asciiTheme="majorEastAsia" w:eastAsiaTheme="majorEastAsia" w:hAnsiTheme="majorEastAsia" w:cstheme="majorBidi"/>
      <w:iCs/>
      <w:color w:val="000000" w:themeColor="text1"/>
      <w:sz w:val="22"/>
    </w:rPr>
  </w:style>
  <w:style w:type="paragraph" w:styleId="Heading5">
    <w:name w:val="heading 5"/>
    <w:basedOn w:val="Normal"/>
    <w:next w:val="Normal"/>
    <w:link w:val="Heading5Char"/>
    <w:uiPriority w:val="9"/>
    <w:semiHidden/>
    <w:unhideWhenUsed/>
    <w:qFormat/>
    <w:rsid w:val="000D1AD9"/>
    <w:pPr>
      <w:keepNext/>
      <w:keepLines/>
      <w:spacing w:after="0"/>
      <w:outlineLvl w:val="4"/>
    </w:pPr>
    <w:rPr>
      <w:rFonts w:asciiTheme="minorEastAsia" w:eastAsiaTheme="majorEastAsia" w:hAnsiTheme="minorEastAsia" w:cstheme="majorBidi"/>
      <w:color w:val="000000" w:themeColor="text1"/>
      <w:sz w:val="22"/>
    </w:rPr>
  </w:style>
  <w:style w:type="paragraph" w:styleId="Heading6">
    <w:name w:val="heading 6"/>
    <w:basedOn w:val="Normal"/>
    <w:next w:val="Normal"/>
    <w:link w:val="Heading6Char"/>
    <w:uiPriority w:val="9"/>
    <w:semiHidden/>
    <w:unhideWhenUsed/>
    <w:qFormat/>
    <w:rsid w:val="00DE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AD9"/>
    <w:rPr>
      <w:rFonts w:ascii="PMingLiU" w:eastAsiaTheme="majorEastAsia" w:hAnsi="PMingLiU" w:cstheme="majorBidi"/>
      <w:color w:val="000000" w:themeColor="text1"/>
      <w:szCs w:val="40"/>
    </w:rPr>
  </w:style>
  <w:style w:type="character" w:customStyle="1" w:styleId="Heading2Char">
    <w:name w:val="Heading 2 Char"/>
    <w:basedOn w:val="DefaultParagraphFont"/>
    <w:link w:val="Heading2"/>
    <w:uiPriority w:val="9"/>
    <w:rsid w:val="000D1AD9"/>
    <w:rPr>
      <w:rFonts w:ascii="PMingLiU" w:eastAsiaTheme="majorEastAsia" w:hAnsi="PMingLiU" w:cstheme="majorBidi"/>
      <w:color w:val="000000" w:themeColor="text1"/>
      <w:sz w:val="22"/>
      <w:szCs w:val="32"/>
    </w:rPr>
  </w:style>
  <w:style w:type="character" w:customStyle="1" w:styleId="Heading3Char">
    <w:name w:val="Heading 3 Char"/>
    <w:basedOn w:val="DefaultParagraphFont"/>
    <w:link w:val="Heading3"/>
    <w:uiPriority w:val="9"/>
    <w:rsid w:val="000D1AD9"/>
    <w:rPr>
      <w:rFonts w:asciiTheme="minorEastAsia" w:eastAsiaTheme="majorEastAsia" w:hAnsiTheme="minorEastAsia" w:cstheme="majorBidi"/>
      <w:color w:val="000000" w:themeColor="text1"/>
      <w:sz w:val="22"/>
      <w:szCs w:val="28"/>
    </w:rPr>
  </w:style>
  <w:style w:type="character" w:customStyle="1" w:styleId="Heading4Char">
    <w:name w:val="Heading 4 Char"/>
    <w:basedOn w:val="DefaultParagraphFont"/>
    <w:link w:val="Heading4"/>
    <w:uiPriority w:val="9"/>
    <w:rsid w:val="000D1AD9"/>
    <w:rPr>
      <w:rFonts w:asciiTheme="majorEastAsia" w:eastAsiaTheme="majorEastAsia" w:hAnsiTheme="majorEastAsia" w:cstheme="majorBidi"/>
      <w:iCs/>
      <w:color w:val="000000" w:themeColor="text1"/>
      <w:sz w:val="22"/>
    </w:rPr>
  </w:style>
  <w:style w:type="character" w:customStyle="1" w:styleId="Heading5Char">
    <w:name w:val="Heading 5 Char"/>
    <w:basedOn w:val="DefaultParagraphFont"/>
    <w:link w:val="Heading5"/>
    <w:uiPriority w:val="9"/>
    <w:semiHidden/>
    <w:rsid w:val="000D1AD9"/>
    <w:rPr>
      <w:rFonts w:asciiTheme="minorEastAsia" w:eastAsiaTheme="majorEastAsia" w:hAnsiTheme="minorEastAsia" w:cstheme="majorBidi"/>
      <w:color w:val="000000" w:themeColor="text1"/>
      <w:sz w:val="22"/>
    </w:rPr>
  </w:style>
  <w:style w:type="character" w:customStyle="1" w:styleId="Heading6Char">
    <w:name w:val="Heading 6 Char"/>
    <w:basedOn w:val="DefaultParagraphFont"/>
    <w:link w:val="Heading6"/>
    <w:uiPriority w:val="9"/>
    <w:semiHidden/>
    <w:rsid w:val="00DE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 w:type="paragraph" w:styleId="TOCHeading">
    <w:name w:val="TOC Heading"/>
    <w:basedOn w:val="Heading1"/>
    <w:next w:val="Normal"/>
    <w:uiPriority w:val="39"/>
    <w:unhideWhenUsed/>
    <w:qFormat/>
    <w:rsid w:val="00370634"/>
    <w:pPr>
      <w:spacing w:before="480" w:line="276" w:lineRule="auto"/>
      <w:outlineLvl w:val="9"/>
    </w:pPr>
    <w:rPr>
      <w:rFonts w:asciiTheme="majorHAnsi" w:hAnsiTheme="majorHAnsi"/>
      <w:b/>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370634"/>
    <w:pPr>
      <w:spacing w:before="120" w:after="0"/>
    </w:pPr>
    <w:rPr>
      <w:b/>
      <w:bCs/>
      <w:i/>
      <w:iCs/>
    </w:rPr>
  </w:style>
  <w:style w:type="character" w:styleId="Hyperlink">
    <w:name w:val="Hyperlink"/>
    <w:basedOn w:val="DefaultParagraphFont"/>
    <w:uiPriority w:val="99"/>
    <w:unhideWhenUsed/>
    <w:rsid w:val="00370634"/>
    <w:rPr>
      <w:color w:val="467886" w:themeColor="hyperlink"/>
      <w:u w:val="single"/>
    </w:rPr>
  </w:style>
  <w:style w:type="paragraph" w:styleId="TOC2">
    <w:name w:val="toc 2"/>
    <w:basedOn w:val="Normal"/>
    <w:next w:val="Normal"/>
    <w:autoRedefine/>
    <w:uiPriority w:val="39"/>
    <w:semiHidden/>
    <w:unhideWhenUsed/>
    <w:rsid w:val="00370634"/>
    <w:pPr>
      <w:spacing w:before="120" w:after="0"/>
      <w:ind w:left="240"/>
    </w:pPr>
    <w:rPr>
      <w:b/>
      <w:bCs/>
      <w:sz w:val="22"/>
      <w:szCs w:val="22"/>
    </w:rPr>
  </w:style>
  <w:style w:type="paragraph" w:styleId="TOC3">
    <w:name w:val="toc 3"/>
    <w:basedOn w:val="Normal"/>
    <w:next w:val="Normal"/>
    <w:autoRedefine/>
    <w:uiPriority w:val="39"/>
    <w:semiHidden/>
    <w:unhideWhenUsed/>
    <w:rsid w:val="00370634"/>
    <w:pPr>
      <w:spacing w:after="0"/>
      <w:ind w:left="480"/>
    </w:pPr>
    <w:rPr>
      <w:sz w:val="20"/>
      <w:szCs w:val="20"/>
    </w:rPr>
  </w:style>
  <w:style w:type="paragraph" w:styleId="TOC4">
    <w:name w:val="toc 4"/>
    <w:basedOn w:val="Normal"/>
    <w:next w:val="Normal"/>
    <w:autoRedefine/>
    <w:uiPriority w:val="39"/>
    <w:semiHidden/>
    <w:unhideWhenUsed/>
    <w:rsid w:val="00370634"/>
    <w:pPr>
      <w:spacing w:after="0"/>
      <w:ind w:left="720"/>
    </w:pPr>
    <w:rPr>
      <w:sz w:val="20"/>
      <w:szCs w:val="20"/>
    </w:rPr>
  </w:style>
  <w:style w:type="paragraph" w:styleId="TOC5">
    <w:name w:val="toc 5"/>
    <w:basedOn w:val="Normal"/>
    <w:next w:val="Normal"/>
    <w:autoRedefine/>
    <w:uiPriority w:val="39"/>
    <w:semiHidden/>
    <w:unhideWhenUsed/>
    <w:rsid w:val="00370634"/>
    <w:pPr>
      <w:spacing w:after="0"/>
      <w:ind w:left="960"/>
    </w:pPr>
    <w:rPr>
      <w:sz w:val="20"/>
      <w:szCs w:val="20"/>
    </w:rPr>
  </w:style>
  <w:style w:type="paragraph" w:styleId="TOC6">
    <w:name w:val="toc 6"/>
    <w:basedOn w:val="Normal"/>
    <w:next w:val="Normal"/>
    <w:autoRedefine/>
    <w:uiPriority w:val="39"/>
    <w:semiHidden/>
    <w:unhideWhenUsed/>
    <w:rsid w:val="00370634"/>
    <w:pPr>
      <w:spacing w:after="0"/>
      <w:ind w:left="1200"/>
    </w:pPr>
    <w:rPr>
      <w:sz w:val="20"/>
      <w:szCs w:val="20"/>
    </w:rPr>
  </w:style>
  <w:style w:type="paragraph" w:styleId="TOC7">
    <w:name w:val="toc 7"/>
    <w:basedOn w:val="Normal"/>
    <w:next w:val="Normal"/>
    <w:autoRedefine/>
    <w:uiPriority w:val="39"/>
    <w:semiHidden/>
    <w:unhideWhenUsed/>
    <w:rsid w:val="00370634"/>
    <w:pPr>
      <w:spacing w:after="0"/>
      <w:ind w:left="1440"/>
    </w:pPr>
    <w:rPr>
      <w:sz w:val="20"/>
      <w:szCs w:val="20"/>
    </w:rPr>
  </w:style>
  <w:style w:type="paragraph" w:styleId="TOC8">
    <w:name w:val="toc 8"/>
    <w:basedOn w:val="Normal"/>
    <w:next w:val="Normal"/>
    <w:autoRedefine/>
    <w:uiPriority w:val="39"/>
    <w:semiHidden/>
    <w:unhideWhenUsed/>
    <w:rsid w:val="00370634"/>
    <w:pPr>
      <w:spacing w:after="0"/>
      <w:ind w:left="1680"/>
    </w:pPr>
    <w:rPr>
      <w:sz w:val="20"/>
      <w:szCs w:val="20"/>
    </w:rPr>
  </w:style>
  <w:style w:type="paragraph" w:styleId="TOC9">
    <w:name w:val="toc 9"/>
    <w:basedOn w:val="Normal"/>
    <w:next w:val="Normal"/>
    <w:autoRedefine/>
    <w:uiPriority w:val="39"/>
    <w:semiHidden/>
    <w:unhideWhenUsed/>
    <w:rsid w:val="00370634"/>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48397-CE4B-4548-9C2E-DB4DAB336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51</TotalTime>
  <Pages>23</Pages>
  <Words>4537</Words>
  <Characters>25863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7</cp:revision>
  <dcterms:created xsi:type="dcterms:W3CDTF">2026-02-07T04:18:00Z</dcterms:created>
  <dcterms:modified xsi:type="dcterms:W3CDTF">2026-02-10T10:05:00Z</dcterms:modified>
</cp:coreProperties>
</file>