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c228208770" w:displacedByCustomXml="next"/>
    <w:sdt>
      <w:sdtPr>
        <w:id w:val="582571396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HK" w:eastAsia="zh-TW"/>
          <w14:ligatures w14:val="standardContextual"/>
        </w:rPr>
      </w:sdtEndPr>
      <w:sdtContent>
        <w:p w14:paraId="6799BE22" w14:textId="1DEC67F3" w:rsidR="00567599" w:rsidRDefault="00567599">
          <w:pPr>
            <w:pStyle w:val="TOCHeading"/>
          </w:pPr>
          <w:r>
            <w:t>Table of Contents</w:t>
          </w:r>
        </w:p>
        <w:p w14:paraId="0ACBC3B6" w14:textId="5201DFC2" w:rsidR="00567599" w:rsidRDefault="00567599">
          <w:pPr>
            <w:pStyle w:val="TOC1"/>
            <w:tabs>
              <w:tab w:val="right" w:leader="dot" w:pos="11170"/>
            </w:tabs>
            <w:rPr>
              <w:noProof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28208830" w:history="1">
            <w:r w:rsidRPr="009B4EB3">
              <w:rPr>
                <w:rStyle w:val="Hyperlink"/>
                <w:rFonts w:hint="eastAsia"/>
                <w:noProof/>
              </w:rPr>
              <w:t>林爽文起事前，清廷在臺灣的治理狀況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_Toc228208830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1FDEFB" w14:textId="5BACE31C" w:rsidR="00567599" w:rsidRDefault="00567599">
          <w:pPr>
            <w:pStyle w:val="TOC1"/>
            <w:tabs>
              <w:tab w:val="right" w:leader="dot" w:pos="11170"/>
            </w:tabs>
            <w:rPr>
              <w:noProof/>
            </w:rPr>
          </w:pPr>
          <w:hyperlink w:anchor="_Toc228208831" w:history="1">
            <w:r w:rsidRPr="009B4EB3">
              <w:rPr>
                <w:rStyle w:val="Hyperlink"/>
                <w:rFonts w:hint="eastAsia"/>
                <w:noProof/>
              </w:rPr>
              <w:t>林爽文起事前，臺灣行政區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_Toc228208831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BA100F" w14:textId="74E2CA2C" w:rsidR="00567599" w:rsidRDefault="00567599">
          <w:pPr>
            <w:pStyle w:val="TOC1"/>
            <w:tabs>
              <w:tab w:val="right" w:leader="dot" w:pos="11170"/>
            </w:tabs>
            <w:rPr>
              <w:noProof/>
            </w:rPr>
          </w:pPr>
          <w:hyperlink w:anchor="_Toc228208832" w:history="1">
            <w:r w:rsidRPr="009B4EB3">
              <w:rPr>
                <w:rStyle w:val="Hyperlink"/>
                <w:rFonts w:hint="eastAsia"/>
                <w:noProof/>
              </w:rPr>
              <w:t>林爽文起事前，臺灣長官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_Toc228208832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06F73A" w14:textId="4162BE4F" w:rsidR="00567599" w:rsidRDefault="00567599">
          <w:pPr>
            <w:pStyle w:val="TOC1"/>
            <w:tabs>
              <w:tab w:val="right" w:leader="dot" w:pos="11170"/>
            </w:tabs>
            <w:rPr>
              <w:noProof/>
            </w:rPr>
          </w:pPr>
          <w:hyperlink w:anchor="_Toc228208833" w:history="1">
            <w:r w:rsidRPr="009B4EB3">
              <w:rPr>
                <w:rStyle w:val="Hyperlink"/>
                <w:rFonts w:hint="eastAsia"/>
                <w:noProof/>
              </w:rPr>
              <w:t>林爽文起事前，清代臺灣的軍事制度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_Toc228208833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20059B" w14:textId="042BC335" w:rsidR="00567599" w:rsidRDefault="00567599">
          <w:r>
            <w:rPr>
              <w:b/>
              <w:bCs/>
              <w:noProof/>
            </w:rPr>
            <w:fldChar w:fldCharType="end"/>
          </w:r>
        </w:p>
      </w:sdtContent>
    </w:sdt>
    <w:p w14:paraId="5FFE3105" w14:textId="77777777" w:rsidR="00285DA3" w:rsidRDefault="00285DA3">
      <w:r>
        <w:br w:type="page"/>
      </w:r>
    </w:p>
    <w:p w14:paraId="35AB6E00" w14:textId="77777777" w:rsidR="00285DA3" w:rsidRDefault="00285DA3" w:rsidP="00285DA3">
      <w:pPr>
        <w:rPr>
          <w:rFonts w:hint="eastAsia"/>
        </w:rPr>
      </w:pPr>
      <w:r>
        <w:rPr>
          <w:rFonts w:hint="eastAsia"/>
        </w:rPr>
        <w:lastRenderedPageBreak/>
        <w:t>林爽文起事前，清廷在臺灣的治理狀況</w:t>
      </w:r>
    </w:p>
    <w:p w14:paraId="0CA7C008" w14:textId="77777777" w:rsidR="00285DA3" w:rsidRDefault="00285DA3" w:rsidP="00285DA3"/>
    <w:p w14:paraId="1A7EB811" w14:textId="77777777" w:rsidR="00285DA3" w:rsidRDefault="00285DA3" w:rsidP="00285DA3">
      <w:pPr>
        <w:rPr>
          <w:rFonts w:hint="eastAsia"/>
        </w:rPr>
      </w:pPr>
      <w:r>
        <w:rPr>
          <w:rFonts w:hint="eastAsia"/>
        </w:rPr>
        <w:t>清廷起事前對臺灣的治理以防範、限制和低度控制為主。清廷取得臺灣後，主要目標是防止臺灣成為反清基地，而不是積極經營移民社會。限制渡臺政策與福建、廣東人口壓力矛盾，造成大量偷渡者、流動人口與羅漢腳進入臺灣。地方官吏貪污需索，綠營兵備廢弛，官府處理糾紛不公，使人民逐漸依靠私人武力、結拜與會黨自保。漳泉、閩粵、福佬客家等分類矛盾也長期累積。林爽文起事因此不是偶發事件，而是清代臺灣治理失衡、官民關係惡化與地方社會武裝化的結果。</w:t>
      </w:r>
    </w:p>
    <w:p w14:paraId="0A6830C2" w14:textId="77777777" w:rsidR="00285DA3" w:rsidRDefault="00285DA3" w:rsidP="00285DA3"/>
    <w:p w14:paraId="5A232804" w14:textId="77777777" w:rsidR="00285DA3" w:rsidRDefault="00285DA3" w:rsidP="00285DA3">
      <w:pPr>
        <w:rPr>
          <w:rFonts w:hint="eastAsia"/>
        </w:rPr>
      </w:pPr>
      <w:r>
        <w:rPr>
          <w:rFonts w:hint="eastAsia"/>
        </w:rPr>
        <w:t>林爽文起事前，臺灣行政區</w:t>
      </w:r>
    </w:p>
    <w:p w14:paraId="11C2FB5F" w14:textId="77777777" w:rsidR="00285DA3" w:rsidRDefault="00285DA3" w:rsidP="00285DA3"/>
    <w:p w14:paraId="00321DCB" w14:textId="77777777" w:rsidR="00285DA3" w:rsidRDefault="00285DA3" w:rsidP="00285DA3">
      <w:pPr>
        <w:rPr>
          <w:rFonts w:hint="eastAsia"/>
        </w:rPr>
      </w:pPr>
      <w:r>
        <w:rPr>
          <w:rFonts w:hint="eastAsia"/>
        </w:rPr>
        <w:t>林爽文起事前，臺灣隸屬福建省，以臺灣府為最高地方行政單位。臺灣府下轄臺灣縣、鳳山縣、諸羅縣；雍正元年以後，又增設彰化縣與淡水廳，另有澎湖廳或澎湖防務作為海上交通和軍事節點。起事前應稱「諸羅縣」，不能稱「嘉義縣」，因為嘉義是事件後因守城有功才改名。這套行政區劃與戰爭進程密切相關：林爽文起於彰化大里杙，攻諸羅並威脅府城；莊大田在鳳山響應；淡水牽涉北路防務，澎湖則關係跨海調兵與軍需交通。</w:t>
      </w:r>
    </w:p>
    <w:p w14:paraId="1DADA3A7" w14:textId="77777777" w:rsidR="00285DA3" w:rsidRDefault="00285DA3" w:rsidP="00285DA3"/>
    <w:p w14:paraId="296C0C45" w14:textId="77777777" w:rsidR="00285DA3" w:rsidRDefault="00285DA3" w:rsidP="00285DA3">
      <w:pPr>
        <w:rPr>
          <w:rFonts w:hint="eastAsia"/>
        </w:rPr>
      </w:pPr>
      <w:r>
        <w:rPr>
          <w:rFonts w:hint="eastAsia"/>
        </w:rPr>
        <w:t>林爽文起事前，臺灣長官</w:t>
      </w:r>
    </w:p>
    <w:p w14:paraId="311F89AF" w14:textId="77777777" w:rsidR="00285DA3" w:rsidRDefault="00285DA3" w:rsidP="00285DA3"/>
    <w:p w14:paraId="21F1D784" w14:textId="77777777" w:rsidR="00285DA3" w:rsidRDefault="00285DA3" w:rsidP="00285DA3">
      <w:pPr>
        <w:rPr>
          <w:rFonts w:hint="eastAsia"/>
        </w:rPr>
      </w:pPr>
      <w:r>
        <w:rPr>
          <w:rFonts w:hint="eastAsia"/>
        </w:rPr>
        <w:t>林爽文起事前，臺灣最高官員不能只用一個職位概括。文官體系中，全臺最高在地文官是臺灣道／臺灣兵備道，當時為永福；府級行政長官是臺灣知府，當時為孫景燧；軍事最高長官是臺灣鎮總兵官，當時為柴大紀。永福在緝捕天地會與調度地方官兵中具有重要影響，孫景燧被派赴彰化佐理並於彰化陷落時被殺，柴大紀則是臺灣本地最高武官，後來守府城、收復諸羅，成為戰爭初期最重要的清方將領之一。</w:t>
      </w:r>
    </w:p>
    <w:p w14:paraId="55E5ADBB" w14:textId="77777777" w:rsidR="00285DA3" w:rsidRDefault="00285DA3" w:rsidP="00285DA3"/>
    <w:p w14:paraId="6746C369" w14:textId="77777777" w:rsidR="00285DA3" w:rsidRDefault="00285DA3" w:rsidP="00285DA3">
      <w:pPr>
        <w:rPr>
          <w:rFonts w:hint="eastAsia"/>
        </w:rPr>
      </w:pPr>
      <w:r>
        <w:rPr>
          <w:rFonts w:hint="eastAsia"/>
        </w:rPr>
        <w:t>林爽文起事前，清代臺灣的軍事制度</w:t>
      </w:r>
    </w:p>
    <w:p w14:paraId="20C3833D" w14:textId="77777777" w:rsidR="00285DA3" w:rsidRDefault="00285DA3" w:rsidP="00285DA3"/>
    <w:p w14:paraId="078E8AD0" w14:textId="77777777" w:rsidR="00285DA3" w:rsidRDefault="00285DA3" w:rsidP="00285DA3">
      <w:pPr>
        <w:rPr>
          <w:rFonts w:hint="eastAsia"/>
        </w:rPr>
      </w:pPr>
      <w:r>
        <w:rPr>
          <w:rFonts w:hint="eastAsia"/>
        </w:rPr>
        <w:t>清代臺灣軍事制度以綠營為核心，基本結構是臺灣鎮總兵、南北二路協營、各地汛塘與班兵制度。臺灣鎮總兵是最高在地武官，兵力分散於府城、諸羅、彰化、鳳山、淡水、鹿港、海口與各塘汛。兵丁多由福建輪調來臺，以避免本地武力坐大，但這也造成兵丁不熟地方、換防受海峽限制、戰時機動不足等問題。起事前綠營操練廢弛，甚至有包差、賭博、包庇娼賭等軍紀問題。這套制度平時可維持小規模治安與海防，但面對林爽文戰爭這種南北呼應、快速擴大的民變時，兵力分散與外援依賴的弱點便完全暴露。</w:t>
      </w:r>
    </w:p>
    <w:p w14:paraId="666691E1" w14:textId="4B92F642" w:rsidR="00567599" w:rsidRDefault="00567599">
      <w:pPr>
        <w:rPr>
          <w:rFonts w:ascii="PMingLiU" w:eastAsiaTheme="majorEastAsia" w:hAnsi="PMingLiU" w:cstheme="majorBidi"/>
          <w:color w:val="000000" w:themeColor="text1"/>
          <w:sz w:val="22"/>
          <w:szCs w:val="40"/>
        </w:rPr>
      </w:pPr>
      <w:r>
        <w:br w:type="page"/>
      </w:r>
    </w:p>
    <w:p w14:paraId="291A8FA6" w14:textId="4E712A0A" w:rsidR="00567599" w:rsidRPr="00864B36" w:rsidRDefault="00567599" w:rsidP="00567599">
      <w:pPr>
        <w:pStyle w:val="Heading1"/>
        <w:jc w:val="center"/>
      </w:pPr>
      <w:bookmarkStart w:id="1" w:name="_Toc228208830"/>
      <w:r w:rsidRPr="00864B36">
        <w:rPr>
          <w:rFonts w:hint="eastAsia"/>
        </w:rPr>
        <w:lastRenderedPageBreak/>
        <w:t>林爽文起事前，清廷在臺灣的治理狀況</w:t>
      </w:r>
      <w:bookmarkEnd w:id="0"/>
      <w:bookmarkEnd w:id="1"/>
    </w:p>
    <w:p w14:paraId="7B059204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1FBFA4EE" w14:textId="77777777" w:rsidR="00567599" w:rsidRPr="00864B36" w:rsidRDefault="00567599" w:rsidP="00567599">
      <w:pPr>
        <w:spacing w:after="0" w:line="240" w:lineRule="auto"/>
        <w:ind w:left="360"/>
        <w:rPr>
          <w:rFonts w:ascii="PMingLiU" w:eastAsia="PMingLiU" w:hAnsi="PMingLiU"/>
          <w:sz w:val="22"/>
          <w:szCs w:val="22"/>
        </w:rPr>
      </w:pPr>
      <w:r w:rsidRPr="00864B36">
        <w:rPr>
          <w:rFonts w:ascii="PMingLiU" w:eastAsia="PMingLiU" w:hAnsi="PMingLiU" w:hint="eastAsia"/>
          <w:sz w:val="22"/>
          <w:szCs w:val="22"/>
        </w:rPr>
        <w:t>總論：清廷起初不是積極經營臺灣，而是以「防範、限制、低度治理」為主</w:t>
      </w:r>
    </w:p>
    <w:p w14:paraId="16271382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74241BEB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864B36">
        <w:rPr>
          <w:rFonts w:ascii="PMingLiU" w:eastAsia="PMingLiU" w:hAnsi="PMingLiU" w:hint="eastAsia"/>
          <w:sz w:val="22"/>
          <w:szCs w:val="22"/>
        </w:rPr>
        <w:t>根據你現有 secondary source notes，林爽文起事前的清代臺灣治理，可以概括為：清廷把臺灣視為帝國邊區與潛在不穩定地帶，治臺政策偏向消極防範，而不是積極建設與深度治理。 這種治理方式造成幾個後果：移民社會自行發展，官府控制力不足；吏治腐敗，官民關係惡化；綠營兵備廢弛，地方治安脆弱；漳泉粵客等分類矛盾未被有效處理；天地會、拜把結會與地方私人武力因此有發展空間。換言之，林爽文起事不是單一偶發事件，而是清代臺灣治理結構長期累積問題後的爆發。</w:t>
      </w:r>
    </w:p>
    <w:p w14:paraId="28500155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204FD034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864B36">
        <w:rPr>
          <w:rFonts w:ascii="PMingLiU" w:eastAsia="PMingLiU" w:hAnsi="PMingLiU" w:hint="eastAsia"/>
          <w:sz w:val="22"/>
          <w:szCs w:val="22"/>
          <w:highlight w:val="yellow"/>
        </w:rPr>
        <w:t>參考：田金昌，〈清初民變與治臺政策關係——以林爽文事件為例〉，《史匯》，第十期，</w:t>
      </w:r>
      <w:r w:rsidRPr="00864B36">
        <w:rPr>
          <w:rFonts w:ascii="PMingLiU" w:eastAsia="PMingLiU" w:hAnsi="PMingLiU"/>
          <w:sz w:val="22"/>
          <w:szCs w:val="22"/>
          <w:highlight w:val="yellow"/>
        </w:rPr>
        <w:t>2006</w:t>
      </w:r>
      <w:r w:rsidRPr="00864B36">
        <w:rPr>
          <w:rFonts w:ascii="PMingLiU" w:eastAsia="PMingLiU" w:hAnsi="PMingLiU" w:hint="eastAsia"/>
          <w:sz w:val="22"/>
          <w:szCs w:val="22"/>
          <w:highlight w:val="yellow"/>
        </w:rPr>
        <w:t>年</w:t>
      </w:r>
      <w:r w:rsidRPr="00864B36">
        <w:rPr>
          <w:rFonts w:ascii="PMingLiU" w:eastAsia="PMingLiU" w:hAnsi="PMingLiU"/>
          <w:sz w:val="22"/>
          <w:szCs w:val="22"/>
          <w:highlight w:val="yellow"/>
        </w:rPr>
        <w:t>9</w:t>
      </w:r>
      <w:r w:rsidRPr="00864B36">
        <w:rPr>
          <w:rFonts w:ascii="PMingLiU" w:eastAsia="PMingLiU" w:hAnsi="PMingLiU" w:hint="eastAsia"/>
          <w:sz w:val="22"/>
          <w:szCs w:val="22"/>
          <w:highlight w:val="yellow"/>
        </w:rPr>
        <w:t>月，頁</w:t>
      </w:r>
      <w:r w:rsidRPr="00864B36">
        <w:rPr>
          <w:rFonts w:ascii="PMingLiU" w:eastAsia="PMingLiU" w:hAnsi="PMingLiU"/>
          <w:sz w:val="22"/>
          <w:szCs w:val="22"/>
          <w:highlight w:val="yellow"/>
        </w:rPr>
        <w:t>180–200</w:t>
      </w:r>
      <w:r w:rsidRPr="00864B36">
        <w:rPr>
          <w:rFonts w:ascii="PMingLiU" w:eastAsia="PMingLiU" w:hAnsi="PMingLiU" w:hint="eastAsia"/>
          <w:sz w:val="22"/>
          <w:szCs w:val="22"/>
          <w:highlight w:val="yellow"/>
        </w:rPr>
        <w:t>。</w:t>
      </w:r>
      <w:r w:rsidRPr="00864B36">
        <w:rPr>
          <w:rFonts w:ascii="PMingLiU" w:eastAsia="PMingLiU" w:hAnsi="PMingLiU"/>
          <w:sz w:val="22"/>
          <w:szCs w:val="22"/>
          <w:highlight w:val="yellow"/>
        </w:rPr>
        <w:t xml:space="preserve"> </w:t>
      </w:r>
    </w:p>
    <w:p w14:paraId="30F328D1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864B36">
        <w:rPr>
          <w:rFonts w:ascii="PMingLiU" w:eastAsia="PMingLiU" w:hAnsi="PMingLiU" w:hint="eastAsia"/>
          <w:sz w:val="22"/>
          <w:szCs w:val="22"/>
          <w:highlight w:val="yellow"/>
        </w:rPr>
        <w:t>參考：賴福順，《乾隆重要戰爭之軍需硏究》。臺北：國立故宮博物院，</w:t>
      </w:r>
      <w:r w:rsidRPr="00864B36">
        <w:rPr>
          <w:rFonts w:ascii="PMingLiU" w:eastAsia="PMingLiU" w:hAnsi="PMingLiU"/>
          <w:sz w:val="22"/>
          <w:szCs w:val="22"/>
          <w:highlight w:val="yellow"/>
        </w:rPr>
        <w:t>1984</w:t>
      </w:r>
      <w:r w:rsidRPr="00864B36">
        <w:rPr>
          <w:rFonts w:ascii="PMingLiU" w:eastAsia="PMingLiU" w:hAnsi="PMingLiU" w:hint="eastAsia"/>
          <w:sz w:val="22"/>
          <w:szCs w:val="22"/>
          <w:highlight w:val="yellow"/>
        </w:rPr>
        <w:t>。</w:t>
      </w:r>
      <w:r w:rsidRPr="00864B36">
        <w:rPr>
          <w:rFonts w:ascii="PMingLiU" w:eastAsia="PMingLiU" w:hAnsi="PMingLiU"/>
          <w:sz w:val="22"/>
          <w:szCs w:val="22"/>
          <w:highlight w:val="yellow"/>
        </w:rPr>
        <w:t xml:space="preserve"> </w:t>
      </w:r>
    </w:p>
    <w:p w14:paraId="7B71B02A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864B36">
        <w:rPr>
          <w:rFonts w:ascii="PMingLiU" w:eastAsia="PMingLiU" w:hAnsi="PMingLiU" w:hint="eastAsia"/>
          <w:sz w:val="22"/>
          <w:szCs w:val="22"/>
          <w:highlight w:val="yellow"/>
        </w:rPr>
        <w:t>參考：韓秀英，《圖說清代林爽文事件始末之研究》。臺北：臺北市立大學歷史與地理學系社會科教學碩士學位班碩士論文，</w:t>
      </w:r>
      <w:r w:rsidRPr="00864B36">
        <w:rPr>
          <w:rFonts w:ascii="PMingLiU" w:eastAsia="PMingLiU" w:hAnsi="PMingLiU"/>
          <w:sz w:val="22"/>
          <w:szCs w:val="22"/>
          <w:highlight w:val="yellow"/>
        </w:rPr>
        <w:t>2022</w:t>
      </w:r>
      <w:r w:rsidRPr="00864B36">
        <w:rPr>
          <w:rFonts w:ascii="PMingLiU" w:eastAsia="PMingLiU" w:hAnsi="PMingLiU" w:hint="eastAsia"/>
          <w:sz w:val="22"/>
          <w:szCs w:val="22"/>
          <w:highlight w:val="yellow"/>
        </w:rPr>
        <w:t>。</w:t>
      </w:r>
      <w:r w:rsidRPr="00864B36">
        <w:rPr>
          <w:rFonts w:ascii="PMingLiU" w:eastAsia="PMingLiU" w:hAnsi="PMingLiU"/>
          <w:sz w:val="22"/>
          <w:szCs w:val="22"/>
          <w:highlight w:val="yellow"/>
        </w:rPr>
        <w:t xml:space="preserve"> </w:t>
      </w:r>
    </w:p>
    <w:p w14:paraId="53803E15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79DA8B02" w14:textId="77777777" w:rsidR="00567599" w:rsidRPr="00864B36" w:rsidRDefault="00567599" w:rsidP="00567599">
      <w:pPr>
        <w:spacing w:after="0" w:line="240" w:lineRule="auto"/>
        <w:ind w:left="360"/>
        <w:rPr>
          <w:rFonts w:ascii="PMingLiU" w:eastAsia="PMingLiU" w:hAnsi="PMingLiU"/>
          <w:sz w:val="22"/>
          <w:szCs w:val="22"/>
        </w:rPr>
      </w:pPr>
      <w:r w:rsidRPr="00864B36">
        <w:rPr>
          <w:rFonts w:ascii="PMingLiU" w:eastAsia="PMingLiU" w:hAnsi="PMingLiU" w:hint="eastAsia"/>
          <w:sz w:val="22"/>
          <w:szCs w:val="22"/>
        </w:rPr>
        <w:t>一、清廷最初對臺灣的態度，是「可有可無」與邊區防範</w:t>
      </w:r>
    </w:p>
    <w:p w14:paraId="5013D4B2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23D38C01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864B36">
        <w:rPr>
          <w:rFonts w:ascii="PMingLiU" w:eastAsia="PMingLiU" w:hAnsi="PMingLiU" w:hint="eastAsia"/>
          <w:sz w:val="22"/>
          <w:szCs w:val="22"/>
        </w:rPr>
        <w:t>田金昌指出，康熙二十二年施琅攻取臺灣後，清廷取得臺灣的原始目的主要是消滅鄭氏反清勢力，而不是立即把臺灣視為必須積極經營的核心領土。康熙甚至曾說臺灣「彈丸之地，得之無所加，不得無所損」，反映清廷最初對臺灣的保留態度。雖然清廷最後在施琅力諫下保留臺灣，設置一府三縣，但其政策仍偏消極保守，重點是防止臺灣再次成為抗清根據地，而不是主動規劃臺灣成為穩定的移墾社會。</w:t>
      </w:r>
      <w:r w:rsidRPr="00864B36">
        <w:rPr>
          <w:rFonts w:ascii="PMingLiU" w:eastAsia="PMingLiU" w:hAnsi="PMingLiU"/>
          <w:sz w:val="22"/>
          <w:szCs w:val="22"/>
        </w:rPr>
        <w:t xml:space="preserve"> </w:t>
      </w:r>
    </w:p>
    <w:p w14:paraId="05AEC5F4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1CECCEFA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864B36">
        <w:rPr>
          <w:rFonts w:ascii="PMingLiU" w:eastAsia="PMingLiU" w:hAnsi="PMingLiU" w:hint="eastAsia"/>
          <w:sz w:val="22"/>
          <w:szCs w:val="22"/>
          <w:highlight w:val="yellow"/>
        </w:rPr>
        <w:t>參考：田金昌，〈清初民變與治臺政策關係——以林爽文事件為例〉，《史匯》，第十期，2006年9月，頁180–200。</w:t>
      </w:r>
    </w:p>
    <w:p w14:paraId="43CCFC2D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29F31C65" w14:textId="77777777" w:rsidR="00567599" w:rsidRPr="00864B36" w:rsidRDefault="00567599" w:rsidP="00567599">
      <w:pPr>
        <w:spacing w:after="0" w:line="240" w:lineRule="auto"/>
        <w:ind w:left="360"/>
        <w:rPr>
          <w:rFonts w:ascii="PMingLiU" w:eastAsia="PMingLiU" w:hAnsi="PMingLiU"/>
          <w:sz w:val="22"/>
          <w:szCs w:val="22"/>
        </w:rPr>
      </w:pPr>
      <w:r w:rsidRPr="00864B36">
        <w:rPr>
          <w:rFonts w:ascii="PMingLiU" w:eastAsia="PMingLiU" w:hAnsi="PMingLiU" w:hint="eastAsia"/>
          <w:sz w:val="22"/>
          <w:szCs w:val="22"/>
        </w:rPr>
        <w:t>二、治臺政策的核心不是「治理臺灣」，而是「防範臺灣」</w:t>
      </w:r>
    </w:p>
    <w:p w14:paraId="6E95248F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6AA861EE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864B36">
        <w:rPr>
          <w:rFonts w:ascii="PMingLiU" w:eastAsia="PMingLiU" w:hAnsi="PMingLiU" w:hint="eastAsia"/>
          <w:sz w:val="22"/>
          <w:szCs w:val="22"/>
        </w:rPr>
        <w:t>田金昌對清初治臺政策有一個很清楚的判斷：清廷是「防範臺灣、統制臺灣」，而不是積極「治理臺灣」。也就是說，清廷並不是完全沒有行政制度，而是它的政策重心偏向限制、監控和防止動亂。例如限制人民渡臺、控制邊區、避免臺灣成為反清基地。這種政策短期內可以降低某些政治風險，但長期而言，卻使移民社會、土地開墾、族群衝突、地方治安等問題缺乏有效處理。</w:t>
      </w:r>
      <w:r w:rsidRPr="00864B36">
        <w:rPr>
          <w:rFonts w:ascii="PMingLiU" w:eastAsia="PMingLiU" w:hAnsi="PMingLiU"/>
          <w:sz w:val="22"/>
          <w:szCs w:val="22"/>
        </w:rPr>
        <w:t xml:space="preserve"> </w:t>
      </w:r>
    </w:p>
    <w:p w14:paraId="58C1DB86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200F8B62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864B36">
        <w:rPr>
          <w:rFonts w:ascii="PMingLiU" w:eastAsia="PMingLiU" w:hAnsi="PMingLiU" w:hint="eastAsia"/>
          <w:sz w:val="22"/>
          <w:szCs w:val="22"/>
          <w:highlight w:val="yellow"/>
        </w:rPr>
        <w:t>參考：田金昌，〈清初民變與治臺政策關係——以林爽文事件為例〉，《史匯》，第十期，2006年9月，頁180–200。</w:t>
      </w:r>
    </w:p>
    <w:p w14:paraId="0F62F111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61C6D112" w14:textId="77777777" w:rsidR="00567599" w:rsidRPr="00864B36" w:rsidRDefault="00567599" w:rsidP="00567599">
      <w:pPr>
        <w:spacing w:after="0" w:line="240" w:lineRule="auto"/>
        <w:ind w:left="360"/>
        <w:rPr>
          <w:rFonts w:ascii="PMingLiU" w:eastAsia="PMingLiU" w:hAnsi="PMingLiU"/>
          <w:sz w:val="22"/>
          <w:szCs w:val="22"/>
        </w:rPr>
      </w:pPr>
      <w:r w:rsidRPr="00864B36">
        <w:rPr>
          <w:rFonts w:ascii="PMingLiU" w:eastAsia="PMingLiU" w:hAnsi="PMingLiU" w:hint="eastAsia"/>
          <w:sz w:val="22"/>
          <w:szCs w:val="22"/>
        </w:rPr>
        <w:t>三、限制移民政策與實際移民潮矛盾，造成大量非正式人口流入</w:t>
      </w:r>
    </w:p>
    <w:p w14:paraId="234F8CB6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3DD5EE8B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864B36">
        <w:rPr>
          <w:rFonts w:ascii="PMingLiU" w:eastAsia="PMingLiU" w:hAnsi="PMingLiU" w:hint="eastAsia"/>
          <w:sz w:val="22"/>
          <w:szCs w:val="22"/>
        </w:rPr>
        <w:t>清廷雖然限制閩粵人民渡臺，但福建、廣東地狹人稠、生計困難，臺灣土地肥沃，仍吸引大量移民偷渡來臺。田金昌指出，清初漢人移墾臺灣，主要是為尋找更好的發展機會；但官方限制與現實需求之間存在矛盾，使臺灣出現大量未被充分納入戶籍與行政管理的移民、「羅漢腳」和流動人口。這些人既缺乏穩定社會保障，又容易捲入土地競爭、械鬥與結會，成為臺灣社會不穩的重要基礎。</w:t>
      </w:r>
      <w:r w:rsidRPr="00864B36">
        <w:rPr>
          <w:rFonts w:ascii="PMingLiU" w:eastAsia="PMingLiU" w:hAnsi="PMingLiU"/>
          <w:sz w:val="22"/>
          <w:szCs w:val="22"/>
        </w:rPr>
        <w:t xml:space="preserve"> </w:t>
      </w:r>
    </w:p>
    <w:p w14:paraId="532D2ED3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076A36D0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864B36">
        <w:rPr>
          <w:rFonts w:ascii="PMingLiU" w:eastAsia="PMingLiU" w:hAnsi="PMingLiU" w:hint="eastAsia"/>
          <w:sz w:val="22"/>
          <w:szCs w:val="22"/>
          <w:highlight w:val="yellow"/>
        </w:rPr>
        <w:t>參考：田金昌，〈清初民變與治臺政策關係——以林爽文事件為例〉，《史匯》，第十期，2006年9月，頁180–200。</w:t>
      </w:r>
    </w:p>
    <w:p w14:paraId="10C57B18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030FFDAC" w14:textId="77777777" w:rsidR="00567599" w:rsidRPr="00864B36" w:rsidRDefault="00567599" w:rsidP="00567599">
      <w:pPr>
        <w:spacing w:after="0" w:line="240" w:lineRule="auto"/>
        <w:ind w:left="360"/>
        <w:rPr>
          <w:rFonts w:ascii="PMingLiU" w:eastAsia="PMingLiU" w:hAnsi="PMingLiU"/>
          <w:sz w:val="22"/>
          <w:szCs w:val="22"/>
        </w:rPr>
      </w:pPr>
      <w:r w:rsidRPr="00864B36">
        <w:rPr>
          <w:rFonts w:ascii="PMingLiU" w:eastAsia="PMingLiU" w:hAnsi="PMingLiU" w:hint="eastAsia"/>
          <w:sz w:val="22"/>
          <w:szCs w:val="22"/>
        </w:rPr>
        <w:t>四、清廷讓移墾社會「自行發展」，導致社會結構失衡</w:t>
      </w:r>
    </w:p>
    <w:p w14:paraId="17835A92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25365787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864B36">
        <w:rPr>
          <w:rFonts w:ascii="PMingLiU" w:eastAsia="PMingLiU" w:hAnsi="PMingLiU" w:hint="eastAsia"/>
          <w:sz w:val="22"/>
          <w:szCs w:val="22"/>
        </w:rPr>
        <w:t>田金昌在摘要中指出，清代臺灣只是帝國邊區，清廷治臺政策必須從整體帝國利益出發，不能獨厚臺灣。因此，其措施多屬於讓移墾社會自行發展的消極治理方式。結果是臺灣出現吏治不良、社會騷動頻繁、族群關係緊張、民風強悍等現象。這個說法非常適合用於你的背景章，因為它說明林爽文事件不是單純由某個官員處置失當造成，而是清廷長期低度治理所形成的結構性危機。</w:t>
      </w:r>
      <w:r w:rsidRPr="00864B36">
        <w:rPr>
          <w:rFonts w:ascii="PMingLiU" w:eastAsia="PMingLiU" w:hAnsi="PMingLiU"/>
          <w:sz w:val="22"/>
          <w:szCs w:val="22"/>
        </w:rPr>
        <w:t xml:space="preserve"> </w:t>
      </w:r>
    </w:p>
    <w:p w14:paraId="30C8A146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1BDFBBFF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864B36">
        <w:rPr>
          <w:rFonts w:ascii="PMingLiU" w:eastAsia="PMingLiU" w:hAnsi="PMingLiU" w:hint="eastAsia"/>
          <w:sz w:val="22"/>
          <w:szCs w:val="22"/>
          <w:highlight w:val="yellow"/>
        </w:rPr>
        <w:t>參考：田金昌，〈清初民變與治臺政策關係——以林爽文事件為例〉，《史匯》，第十期，2006年9月，頁180–200。</w:t>
      </w:r>
    </w:p>
    <w:p w14:paraId="713BD6A3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1FA6237A" w14:textId="77777777" w:rsidR="00567599" w:rsidRPr="00864B36" w:rsidRDefault="00567599" w:rsidP="00567599">
      <w:pPr>
        <w:spacing w:after="0" w:line="240" w:lineRule="auto"/>
        <w:ind w:left="360"/>
        <w:rPr>
          <w:rFonts w:ascii="PMingLiU" w:eastAsia="PMingLiU" w:hAnsi="PMingLiU"/>
          <w:sz w:val="22"/>
          <w:szCs w:val="22"/>
        </w:rPr>
      </w:pPr>
      <w:r w:rsidRPr="00864B36">
        <w:rPr>
          <w:rFonts w:ascii="PMingLiU" w:eastAsia="PMingLiU" w:hAnsi="PMingLiU" w:hint="eastAsia"/>
          <w:sz w:val="22"/>
          <w:szCs w:val="22"/>
        </w:rPr>
        <w:t>五、官吏把臺灣視為牟利之地，吏治腐敗加深官民對立</w:t>
      </w:r>
    </w:p>
    <w:p w14:paraId="43ABC754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300AAA59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864B36">
        <w:rPr>
          <w:rFonts w:ascii="PMingLiU" w:eastAsia="PMingLiU" w:hAnsi="PMingLiU" w:hint="eastAsia"/>
          <w:sz w:val="22"/>
          <w:szCs w:val="22"/>
        </w:rPr>
        <w:lastRenderedPageBreak/>
        <w:t>賴福順指出，臺灣文武官吏常用人不當，並把臺灣視為牟利之地，百姓不堪其擾，秘密會黨又從中鼓動，所以民變屢起。他特別指出，所謂「臺民好亂」，多是官逼民變與會黨煽動的結果。這一點很重要，因為它把林爽文起事前的治理問題集中到官民關係上：官府不是穩定秩序的保護者，反而常被地方人民視為剝削、勒索與不公的來源。</w:t>
      </w:r>
      <w:r w:rsidRPr="00864B36">
        <w:rPr>
          <w:rFonts w:ascii="PMingLiU" w:eastAsia="PMingLiU" w:hAnsi="PMingLiU"/>
          <w:sz w:val="22"/>
          <w:szCs w:val="22"/>
        </w:rPr>
        <w:t xml:space="preserve"> </w:t>
      </w:r>
    </w:p>
    <w:p w14:paraId="2435E117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4208F125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864B36">
        <w:rPr>
          <w:rFonts w:ascii="PMingLiU" w:eastAsia="PMingLiU" w:hAnsi="PMingLiU" w:hint="eastAsia"/>
          <w:sz w:val="22"/>
          <w:szCs w:val="22"/>
          <w:highlight w:val="yellow"/>
        </w:rPr>
        <w:t>參考：賴福順，《乾隆重要戰爭之軍需硏究》。臺北：國立故宮博物院，</w:t>
      </w:r>
      <w:r w:rsidRPr="00864B36">
        <w:rPr>
          <w:rFonts w:ascii="PMingLiU" w:eastAsia="PMingLiU" w:hAnsi="PMingLiU"/>
          <w:sz w:val="22"/>
          <w:szCs w:val="22"/>
          <w:highlight w:val="yellow"/>
        </w:rPr>
        <w:t>1984</w:t>
      </w:r>
      <w:r w:rsidRPr="00864B36">
        <w:rPr>
          <w:rFonts w:ascii="PMingLiU" w:eastAsia="PMingLiU" w:hAnsi="PMingLiU" w:hint="eastAsia"/>
          <w:sz w:val="22"/>
          <w:szCs w:val="22"/>
          <w:highlight w:val="yellow"/>
        </w:rPr>
        <w:t>。</w:t>
      </w:r>
    </w:p>
    <w:p w14:paraId="6C17DE59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6AB9E83A" w14:textId="77777777" w:rsidR="00567599" w:rsidRPr="00864B36" w:rsidRDefault="00567599" w:rsidP="00567599">
      <w:pPr>
        <w:spacing w:after="0" w:line="240" w:lineRule="auto"/>
        <w:ind w:left="360"/>
        <w:rPr>
          <w:rFonts w:ascii="PMingLiU" w:eastAsia="PMingLiU" w:hAnsi="PMingLiU"/>
          <w:sz w:val="22"/>
          <w:szCs w:val="22"/>
        </w:rPr>
      </w:pPr>
      <w:r w:rsidRPr="00864B36">
        <w:rPr>
          <w:rFonts w:ascii="PMingLiU" w:eastAsia="PMingLiU" w:hAnsi="PMingLiU" w:hint="eastAsia"/>
          <w:sz w:val="22"/>
          <w:szCs w:val="22"/>
        </w:rPr>
        <w:t>六、地方官處理糾紛不公，使人民轉向私人武力與結會自保</w:t>
      </w:r>
    </w:p>
    <w:p w14:paraId="790EE87C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4BF9E112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864B36">
        <w:rPr>
          <w:rFonts w:ascii="PMingLiU" w:eastAsia="PMingLiU" w:hAnsi="PMingLiU" w:hint="eastAsia"/>
          <w:sz w:val="22"/>
          <w:szCs w:val="22"/>
        </w:rPr>
        <w:t>韓秀英的研究摘要也指出，清廷對臺灣的消極治理政策，使臺灣社會結構失衡、資源分配不均；再加上長期軍政廢弛，官府對糾紛處置不公，人民對官方失去信任，開始組織地方私人武力尋求出口，民間械鬥因此頻繁。這說明在林爽文起事前，臺灣地方社會已經存在一種「官府失信—民間自保—私人武裝化」的循環。天地會和拜把結會之所以有吸引力，正是因為官方治理無法有效處理地方糾紛。</w:t>
      </w:r>
      <w:r w:rsidRPr="00864B36">
        <w:rPr>
          <w:rFonts w:ascii="PMingLiU" w:eastAsia="PMingLiU" w:hAnsi="PMingLiU"/>
          <w:sz w:val="22"/>
          <w:szCs w:val="22"/>
        </w:rPr>
        <w:t xml:space="preserve"> </w:t>
      </w:r>
    </w:p>
    <w:p w14:paraId="4C3C4B53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40229C8C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864B36">
        <w:rPr>
          <w:rFonts w:ascii="PMingLiU" w:eastAsia="PMingLiU" w:hAnsi="PMingLiU" w:hint="eastAsia"/>
          <w:sz w:val="22"/>
          <w:szCs w:val="22"/>
          <w:highlight w:val="yellow"/>
        </w:rPr>
        <w:t>參考：韓秀英，《圖說清代林爽文事件始末之研究》。臺北：臺北市立大學歷史與地理學系社會科教學碩士學位班碩士論文，2022。</w:t>
      </w:r>
    </w:p>
    <w:p w14:paraId="0ADC8832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496197C4" w14:textId="77777777" w:rsidR="00567599" w:rsidRPr="00864B36" w:rsidRDefault="00567599" w:rsidP="00567599">
      <w:pPr>
        <w:spacing w:after="0" w:line="240" w:lineRule="auto"/>
        <w:ind w:left="360"/>
        <w:rPr>
          <w:rFonts w:ascii="PMingLiU" w:eastAsia="PMingLiU" w:hAnsi="PMingLiU"/>
          <w:sz w:val="22"/>
          <w:szCs w:val="22"/>
        </w:rPr>
      </w:pPr>
      <w:r w:rsidRPr="00864B36">
        <w:rPr>
          <w:rFonts w:ascii="PMingLiU" w:eastAsia="PMingLiU" w:hAnsi="PMingLiU" w:hint="eastAsia"/>
          <w:sz w:val="22"/>
          <w:szCs w:val="22"/>
        </w:rPr>
        <w:t>七、臺灣綠營兵備廢弛，平時已難有效維持治安</w:t>
      </w:r>
    </w:p>
    <w:p w14:paraId="40081D7C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125FEB60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864B36">
        <w:rPr>
          <w:rFonts w:ascii="PMingLiU" w:eastAsia="PMingLiU" w:hAnsi="PMingLiU" w:hint="eastAsia"/>
          <w:sz w:val="22"/>
          <w:szCs w:val="22"/>
        </w:rPr>
        <w:t>治理問題不只在文官，也在軍事。李天鳴指出，乾隆年間臺灣駐軍雖有額定兵力，但武備廢弛，兵丁每年操練不過一兩次；有些營汛或衙署當差兵丁甚至不親自上班，而是出錢請同營兵丁代班，即所謂「包差」。不上班的兵丁，有的在外貿易營生，有的遊手飲博，甚至包庇娼賭。這表示林爽文起事前，臺灣基層軍事力量已經相當鬆散，官府平日對地方秩序的控制力有限。</w:t>
      </w:r>
      <w:r w:rsidRPr="00864B36">
        <w:rPr>
          <w:rFonts w:ascii="PMingLiU" w:eastAsia="PMingLiU" w:hAnsi="PMingLiU"/>
          <w:sz w:val="22"/>
          <w:szCs w:val="22"/>
        </w:rPr>
        <w:t xml:space="preserve"> </w:t>
      </w:r>
    </w:p>
    <w:p w14:paraId="04D586BD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0E9EB15E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864B36">
        <w:rPr>
          <w:rFonts w:ascii="PMingLiU" w:eastAsia="PMingLiU" w:hAnsi="PMingLiU" w:hint="eastAsia"/>
          <w:sz w:val="22"/>
          <w:szCs w:val="22"/>
          <w:highlight w:val="yellow"/>
        </w:rPr>
        <w:t>參考：李天鳴，〈林爽文事件中的諸羅戰役〉，《故宮學術季刊》，第十九卷第一期，2001年秋季，頁151–194。</w:t>
      </w:r>
    </w:p>
    <w:p w14:paraId="7907192B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205D8567" w14:textId="77777777" w:rsidR="00567599" w:rsidRPr="00864B36" w:rsidRDefault="00567599" w:rsidP="00567599">
      <w:pPr>
        <w:spacing w:after="0" w:line="240" w:lineRule="auto"/>
        <w:ind w:left="360"/>
        <w:rPr>
          <w:rFonts w:ascii="PMingLiU" w:eastAsia="PMingLiU" w:hAnsi="PMingLiU"/>
          <w:sz w:val="22"/>
          <w:szCs w:val="22"/>
        </w:rPr>
      </w:pPr>
      <w:r w:rsidRPr="00864B36">
        <w:rPr>
          <w:rFonts w:ascii="PMingLiU" w:eastAsia="PMingLiU" w:hAnsi="PMingLiU" w:hint="eastAsia"/>
          <w:sz w:val="22"/>
          <w:szCs w:val="22"/>
        </w:rPr>
        <w:t>八、臺灣綠營制度本身有海外防務的結構困難</w:t>
      </w:r>
    </w:p>
    <w:p w14:paraId="3ED380C8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5300539E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864B36">
        <w:rPr>
          <w:rFonts w:ascii="PMingLiU" w:eastAsia="PMingLiU" w:hAnsi="PMingLiU" w:hint="eastAsia"/>
          <w:sz w:val="22"/>
          <w:szCs w:val="22"/>
        </w:rPr>
        <w:t>許雪姬《清代臺灣的綠營》可以補充制度層面。臺灣遠在海外，亂事頻仍，清廷一方面需要臺灣總兵具備較大調度權，以便處理地方突發危機；另一方面又害怕海外武官坐大，因此透過督撫、道府與制度安排加以監督。臺灣綠營兵力又分散於營、汛、塘等地，平時用於分區巡防，但一旦發生大規模民變，這種分散防守就會變成兵力難以集中、指揮難以統一的問題。</w:t>
      </w:r>
      <w:r w:rsidRPr="00864B36">
        <w:rPr>
          <w:rFonts w:ascii="PMingLiU" w:eastAsia="PMingLiU" w:hAnsi="PMingLiU"/>
          <w:sz w:val="22"/>
          <w:szCs w:val="22"/>
        </w:rPr>
        <w:t xml:space="preserve"> </w:t>
      </w:r>
    </w:p>
    <w:p w14:paraId="4E94C1DE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3BDE49F3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864B36">
        <w:rPr>
          <w:rFonts w:ascii="PMingLiU" w:eastAsia="PMingLiU" w:hAnsi="PMingLiU" w:hint="eastAsia"/>
          <w:sz w:val="22"/>
          <w:szCs w:val="22"/>
          <w:highlight w:val="yellow"/>
        </w:rPr>
        <w:t>參考：許雪姬，《清代臺灣的綠營》。臺北：中央研究院近代史研究所，1987。</w:t>
      </w:r>
    </w:p>
    <w:p w14:paraId="59C7C31F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5F955FEA" w14:textId="77777777" w:rsidR="00567599" w:rsidRPr="00864B36" w:rsidRDefault="00567599" w:rsidP="00567599">
      <w:pPr>
        <w:spacing w:after="0" w:line="240" w:lineRule="auto"/>
        <w:ind w:left="360"/>
        <w:rPr>
          <w:rFonts w:ascii="PMingLiU" w:eastAsia="PMingLiU" w:hAnsi="PMingLiU"/>
          <w:sz w:val="22"/>
          <w:szCs w:val="22"/>
        </w:rPr>
      </w:pPr>
      <w:r w:rsidRPr="00864B36">
        <w:rPr>
          <w:rFonts w:ascii="PMingLiU" w:eastAsia="PMingLiU" w:hAnsi="PMingLiU" w:hint="eastAsia"/>
          <w:sz w:val="22"/>
          <w:szCs w:val="22"/>
        </w:rPr>
        <w:t>九、官府對族群械鬥多採息事寧人，使分類矛盾長期累積</w:t>
      </w:r>
    </w:p>
    <w:p w14:paraId="008D842E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501488F7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864B36">
        <w:rPr>
          <w:rFonts w:ascii="PMingLiU" w:eastAsia="PMingLiU" w:hAnsi="PMingLiU" w:hint="eastAsia"/>
          <w:sz w:val="22"/>
          <w:szCs w:val="22"/>
        </w:rPr>
        <w:t>莊吉發指出，閩粵移民進入臺灣後，村莊田地相互錯處，粵莊與閩莊不和，泉民與漳民尤多嫌隙，常因小事或土地紛爭發生械鬥。地方文武為求息事寧人，遇到械鬥案件多只是委員曉諭勸導，將就了事，爭端依然存在。這說明清廷地方治理並沒有有效解決漳泉、閩粵、福佬客家之間的深層衝突，只是把矛盾暫時壓下。林爽文起事後，這些原本積累的分類矛盾便迅速被戰爭動員起來。</w:t>
      </w:r>
      <w:r w:rsidRPr="00864B36">
        <w:rPr>
          <w:rFonts w:ascii="PMingLiU" w:eastAsia="PMingLiU" w:hAnsi="PMingLiU"/>
          <w:sz w:val="22"/>
          <w:szCs w:val="22"/>
        </w:rPr>
        <w:t xml:space="preserve"> </w:t>
      </w:r>
    </w:p>
    <w:p w14:paraId="3ED744AC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637250BA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864B36">
        <w:rPr>
          <w:rFonts w:ascii="PMingLiU" w:eastAsia="PMingLiU" w:hAnsi="PMingLiU" w:hint="eastAsia"/>
          <w:sz w:val="22"/>
          <w:szCs w:val="22"/>
          <w:highlight w:val="yellow"/>
        </w:rPr>
        <w:t>參考：莊吉發，《清高宗十全武功研究》。北京：中華書局，1987。</w:t>
      </w:r>
    </w:p>
    <w:p w14:paraId="338FCC08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2E932E4B" w14:textId="77777777" w:rsidR="00567599" w:rsidRPr="00864B36" w:rsidRDefault="00567599" w:rsidP="00567599">
      <w:pPr>
        <w:spacing w:after="0" w:line="240" w:lineRule="auto"/>
        <w:ind w:left="360"/>
        <w:rPr>
          <w:rFonts w:ascii="PMingLiU" w:eastAsia="PMingLiU" w:hAnsi="PMingLiU"/>
          <w:sz w:val="22"/>
          <w:szCs w:val="22"/>
        </w:rPr>
      </w:pPr>
      <w:r w:rsidRPr="00864B36">
        <w:rPr>
          <w:rFonts w:ascii="PMingLiU" w:eastAsia="PMingLiU" w:hAnsi="PMingLiU" w:hint="eastAsia"/>
          <w:sz w:val="22"/>
          <w:szCs w:val="22"/>
        </w:rPr>
        <w:t>十、天地會能在臺灣發展，正是因為官府治理與地方社會之間有空隙</w:t>
      </w:r>
    </w:p>
    <w:p w14:paraId="5F63AF7D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0E5029C0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864B36">
        <w:rPr>
          <w:rFonts w:ascii="PMingLiU" w:eastAsia="PMingLiU" w:hAnsi="PMingLiU" w:hint="eastAsia"/>
          <w:sz w:val="22"/>
          <w:szCs w:val="22"/>
        </w:rPr>
        <w:t>許毓良指出，林爽文事件與朱一貴事件不同之處，在於林案背後有天地會作為依恃。天地會重要之處，在於它是一個組織平台，能容納地主、小販、傭工、和尚、屠夫、挑夫、捕役、書吏、店家等不同職業的人。這種組織平台之所以能發展，與清廷在臺灣的地方治理不足有關。當官府不能提供有效司法、治安與社會保護時，民眾便更容易透過結拜、會黨與地方武力建立互助和防衛網絡。</w:t>
      </w:r>
      <w:r w:rsidRPr="00864B36">
        <w:rPr>
          <w:rFonts w:ascii="PMingLiU" w:eastAsia="PMingLiU" w:hAnsi="PMingLiU"/>
          <w:sz w:val="22"/>
          <w:szCs w:val="22"/>
        </w:rPr>
        <w:t xml:space="preserve"> </w:t>
      </w:r>
    </w:p>
    <w:p w14:paraId="345E6E56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25BBACF0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864B36">
        <w:rPr>
          <w:rFonts w:ascii="PMingLiU" w:eastAsia="PMingLiU" w:hAnsi="PMingLiU" w:hint="eastAsia"/>
          <w:sz w:val="22"/>
          <w:szCs w:val="22"/>
          <w:highlight w:val="yellow"/>
        </w:rPr>
        <w:t>參考：許毓良，《清代臺灣軍事與社會》。北京：九州出版社，2008年11月。</w:t>
      </w:r>
    </w:p>
    <w:p w14:paraId="2BE648E8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3C87BE54" w14:textId="77777777" w:rsidR="00567599" w:rsidRPr="00864B36" w:rsidRDefault="00567599" w:rsidP="00567599">
      <w:pPr>
        <w:spacing w:after="0" w:line="240" w:lineRule="auto"/>
        <w:ind w:left="360"/>
        <w:rPr>
          <w:rFonts w:ascii="PMingLiU" w:eastAsia="PMingLiU" w:hAnsi="PMingLiU"/>
          <w:sz w:val="22"/>
          <w:szCs w:val="22"/>
        </w:rPr>
      </w:pPr>
      <w:r w:rsidRPr="00864B36">
        <w:rPr>
          <w:rFonts w:ascii="PMingLiU" w:eastAsia="PMingLiU" w:hAnsi="PMingLiU" w:hint="eastAsia"/>
          <w:sz w:val="22"/>
          <w:szCs w:val="22"/>
        </w:rPr>
        <w:t>十一、清廷治理的矛盾：防亂政策反而製造亂源</w:t>
      </w:r>
    </w:p>
    <w:p w14:paraId="3E9D7262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3939F996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864B36">
        <w:rPr>
          <w:rFonts w:ascii="PMingLiU" w:eastAsia="PMingLiU" w:hAnsi="PMingLiU" w:hint="eastAsia"/>
          <w:sz w:val="22"/>
          <w:szCs w:val="22"/>
        </w:rPr>
        <w:lastRenderedPageBreak/>
        <w:t>清廷治臺有一個矛盾：它原本想透過限制移民、控制邊區、分散兵力與防範會黨來避免臺灣成為反清基地；但這些政策沒有真正解決移民生計、土地糾紛、官吏貪污、族群械鬥與地方治安問題，反而使許多社會問題在非正式狀態中累積。當官府開始嚴緝天地會時，地方社會不但沒有相信官府會公正處理，反而因過度搜捕、勒索、牽連無辜而爆發反抗。這正是林爽文起事前清廷治理最大的失敗。</w:t>
      </w:r>
    </w:p>
    <w:p w14:paraId="0028BD1F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35EC08A2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864B36">
        <w:rPr>
          <w:rFonts w:ascii="PMingLiU" w:eastAsia="PMingLiU" w:hAnsi="PMingLiU" w:hint="eastAsia"/>
          <w:sz w:val="22"/>
          <w:szCs w:val="22"/>
          <w:highlight w:val="yellow"/>
        </w:rPr>
        <w:t>參考：田金昌，〈清初民變與治臺政策關係——以林爽文事件為例〉，《史匯》，第十期，</w:t>
      </w:r>
      <w:r w:rsidRPr="00864B36">
        <w:rPr>
          <w:rFonts w:ascii="PMingLiU" w:eastAsia="PMingLiU" w:hAnsi="PMingLiU"/>
          <w:sz w:val="22"/>
          <w:szCs w:val="22"/>
          <w:highlight w:val="yellow"/>
        </w:rPr>
        <w:t>2006</w:t>
      </w:r>
      <w:r w:rsidRPr="00864B36">
        <w:rPr>
          <w:rFonts w:ascii="PMingLiU" w:eastAsia="PMingLiU" w:hAnsi="PMingLiU" w:hint="eastAsia"/>
          <w:sz w:val="22"/>
          <w:szCs w:val="22"/>
          <w:highlight w:val="yellow"/>
        </w:rPr>
        <w:t>年</w:t>
      </w:r>
      <w:r w:rsidRPr="00864B36">
        <w:rPr>
          <w:rFonts w:ascii="PMingLiU" w:eastAsia="PMingLiU" w:hAnsi="PMingLiU"/>
          <w:sz w:val="22"/>
          <w:szCs w:val="22"/>
          <w:highlight w:val="yellow"/>
        </w:rPr>
        <w:t>9</w:t>
      </w:r>
      <w:r w:rsidRPr="00864B36">
        <w:rPr>
          <w:rFonts w:ascii="PMingLiU" w:eastAsia="PMingLiU" w:hAnsi="PMingLiU" w:hint="eastAsia"/>
          <w:sz w:val="22"/>
          <w:szCs w:val="22"/>
          <w:highlight w:val="yellow"/>
        </w:rPr>
        <w:t>月，頁</w:t>
      </w:r>
      <w:r w:rsidRPr="00864B36">
        <w:rPr>
          <w:rFonts w:ascii="PMingLiU" w:eastAsia="PMingLiU" w:hAnsi="PMingLiU"/>
          <w:sz w:val="22"/>
          <w:szCs w:val="22"/>
          <w:highlight w:val="yellow"/>
        </w:rPr>
        <w:t>180–200</w:t>
      </w:r>
      <w:r w:rsidRPr="00864B36">
        <w:rPr>
          <w:rFonts w:ascii="PMingLiU" w:eastAsia="PMingLiU" w:hAnsi="PMingLiU" w:hint="eastAsia"/>
          <w:sz w:val="22"/>
          <w:szCs w:val="22"/>
          <w:highlight w:val="yellow"/>
        </w:rPr>
        <w:t>。</w:t>
      </w:r>
      <w:r w:rsidRPr="00864B36">
        <w:rPr>
          <w:rFonts w:ascii="PMingLiU" w:eastAsia="PMingLiU" w:hAnsi="PMingLiU"/>
          <w:sz w:val="22"/>
          <w:szCs w:val="22"/>
          <w:highlight w:val="yellow"/>
        </w:rPr>
        <w:t xml:space="preserve"> </w:t>
      </w:r>
    </w:p>
    <w:p w14:paraId="3B13F570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864B36">
        <w:rPr>
          <w:rFonts w:ascii="PMingLiU" w:eastAsia="PMingLiU" w:hAnsi="PMingLiU" w:hint="eastAsia"/>
          <w:sz w:val="22"/>
          <w:szCs w:val="22"/>
          <w:highlight w:val="yellow"/>
        </w:rPr>
        <w:t>參考：李天鳴，〈林爽文事件中的諸羅戰役〉，《故宮學術季刊》，第十九卷第一期，</w:t>
      </w:r>
      <w:r w:rsidRPr="00864B36">
        <w:rPr>
          <w:rFonts w:ascii="PMingLiU" w:eastAsia="PMingLiU" w:hAnsi="PMingLiU"/>
          <w:sz w:val="22"/>
          <w:szCs w:val="22"/>
          <w:highlight w:val="yellow"/>
        </w:rPr>
        <w:t>2001</w:t>
      </w:r>
      <w:r w:rsidRPr="00864B36">
        <w:rPr>
          <w:rFonts w:ascii="PMingLiU" w:eastAsia="PMingLiU" w:hAnsi="PMingLiU" w:hint="eastAsia"/>
          <w:sz w:val="22"/>
          <w:szCs w:val="22"/>
          <w:highlight w:val="yellow"/>
        </w:rPr>
        <w:t>年秋季，頁</w:t>
      </w:r>
      <w:r w:rsidRPr="00864B36">
        <w:rPr>
          <w:rFonts w:ascii="PMingLiU" w:eastAsia="PMingLiU" w:hAnsi="PMingLiU"/>
          <w:sz w:val="22"/>
          <w:szCs w:val="22"/>
          <w:highlight w:val="yellow"/>
        </w:rPr>
        <w:t>151–194</w:t>
      </w:r>
      <w:r w:rsidRPr="00864B36">
        <w:rPr>
          <w:rFonts w:ascii="PMingLiU" w:eastAsia="PMingLiU" w:hAnsi="PMingLiU" w:hint="eastAsia"/>
          <w:sz w:val="22"/>
          <w:szCs w:val="22"/>
          <w:highlight w:val="yellow"/>
        </w:rPr>
        <w:t>。</w:t>
      </w:r>
      <w:r w:rsidRPr="00864B36">
        <w:rPr>
          <w:rFonts w:ascii="PMingLiU" w:eastAsia="PMingLiU" w:hAnsi="PMingLiU"/>
          <w:sz w:val="22"/>
          <w:szCs w:val="22"/>
          <w:highlight w:val="yellow"/>
        </w:rPr>
        <w:t xml:space="preserve"> </w:t>
      </w:r>
    </w:p>
    <w:p w14:paraId="07BB8F99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4180A61E" w14:textId="77777777" w:rsidR="00567599" w:rsidRPr="00864B36" w:rsidRDefault="00567599" w:rsidP="00567599">
      <w:pPr>
        <w:rPr>
          <w:rFonts w:ascii="PMingLiU" w:eastAsia="PMingLiU" w:hAnsi="PMingLiU"/>
          <w:sz w:val="22"/>
          <w:szCs w:val="22"/>
        </w:rPr>
      </w:pPr>
      <w:r w:rsidRPr="00864B36">
        <w:rPr>
          <w:rFonts w:ascii="PMingLiU" w:eastAsia="PMingLiU" w:hAnsi="PMingLiU"/>
          <w:sz w:val="22"/>
          <w:szCs w:val="22"/>
        </w:rPr>
        <w:br w:type="page"/>
      </w:r>
    </w:p>
    <w:p w14:paraId="7F7195F3" w14:textId="77777777" w:rsidR="00567599" w:rsidRPr="00864B36" w:rsidRDefault="00567599" w:rsidP="00567599">
      <w:pPr>
        <w:pStyle w:val="Heading1"/>
        <w:jc w:val="center"/>
      </w:pPr>
      <w:bookmarkStart w:id="2" w:name="_Toc228208771"/>
      <w:bookmarkStart w:id="3" w:name="_Toc228208831"/>
      <w:r w:rsidRPr="00864B36">
        <w:rPr>
          <w:rFonts w:hint="eastAsia"/>
        </w:rPr>
        <w:lastRenderedPageBreak/>
        <w:t>林爽文起事前，臺灣行政區</w:t>
      </w:r>
      <w:bookmarkEnd w:id="2"/>
      <w:bookmarkEnd w:id="3"/>
    </w:p>
    <w:p w14:paraId="43928F4D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689058C2" w14:textId="77777777" w:rsidR="00567599" w:rsidRPr="00864B36" w:rsidRDefault="00567599" w:rsidP="00567599">
      <w:pPr>
        <w:spacing w:after="0" w:line="240" w:lineRule="auto"/>
        <w:ind w:left="360"/>
        <w:rPr>
          <w:rFonts w:ascii="PMingLiU" w:eastAsia="PMingLiU" w:hAnsi="PMingLiU"/>
          <w:sz w:val="22"/>
          <w:szCs w:val="22"/>
        </w:rPr>
      </w:pPr>
      <w:r w:rsidRPr="00864B36">
        <w:rPr>
          <w:rFonts w:ascii="PMingLiU" w:eastAsia="PMingLiU" w:hAnsi="PMingLiU" w:hint="eastAsia"/>
          <w:sz w:val="22"/>
          <w:szCs w:val="22"/>
        </w:rPr>
        <w:t>總論：起事前是「福建省—臺灣府—縣／廳」結構</w:t>
      </w:r>
    </w:p>
    <w:p w14:paraId="04A9F7E0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07970759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864B36">
        <w:rPr>
          <w:rFonts w:ascii="PMingLiU" w:eastAsia="PMingLiU" w:hAnsi="PMingLiU" w:hint="eastAsia"/>
          <w:sz w:val="22"/>
          <w:szCs w:val="22"/>
        </w:rPr>
        <w:t>林爽文起事前，臺灣行政上隸屬福建省，地方行政核心是臺灣府。清廷領有臺灣後，先設臺灣府，下轄臺灣縣、鳳山縣、諸羅縣；</w:t>
      </w:r>
    </w:p>
    <w:p w14:paraId="480192EF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7F6EBE1A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864B36">
        <w:rPr>
          <w:rFonts w:ascii="PMingLiU" w:eastAsia="PMingLiU" w:hAnsi="PMingLiU" w:hint="eastAsia"/>
          <w:sz w:val="22"/>
          <w:szCs w:val="22"/>
        </w:rPr>
        <w:t>雍正元年以後，又增設彰化縣與淡水廳。</w:t>
      </w:r>
    </w:p>
    <w:p w14:paraId="567FDF22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02A00694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864B36">
        <w:rPr>
          <w:rFonts w:ascii="PMingLiU" w:eastAsia="PMingLiU" w:hAnsi="PMingLiU" w:hint="eastAsia"/>
          <w:sz w:val="22"/>
          <w:szCs w:val="22"/>
        </w:rPr>
        <w:t>若以乾隆五十一年林爽文起事前來看，較準確的說法是：</w:t>
      </w:r>
      <w:r w:rsidRPr="00864B36">
        <w:rPr>
          <w:rFonts w:ascii="PMingLiU" w:eastAsia="PMingLiU" w:hAnsi="PMingLiU"/>
          <w:sz w:val="22"/>
          <w:szCs w:val="22"/>
        </w:rPr>
        <w:t>**</w:t>
      </w:r>
      <w:r w:rsidRPr="00864B36">
        <w:rPr>
          <w:rFonts w:ascii="PMingLiU" w:eastAsia="PMingLiU" w:hAnsi="PMingLiU" w:hint="eastAsia"/>
          <w:sz w:val="22"/>
          <w:szCs w:val="22"/>
        </w:rPr>
        <w:t>臺灣府下轄臺灣縣、鳳山縣、諸羅縣、彰化縣、淡水廳，另有澎湖廳／澎湖相關廳制與巡檢防務作為海上交通、防務單位。</w:t>
      </w:r>
    </w:p>
    <w:p w14:paraId="50290C78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51D033FB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864B36">
        <w:rPr>
          <w:rFonts w:ascii="PMingLiU" w:eastAsia="PMingLiU" w:hAnsi="PMingLiU" w:hint="eastAsia"/>
          <w:sz w:val="22"/>
          <w:szCs w:val="22"/>
        </w:rPr>
        <w:t>你之前若寫「嘉義縣」或「噶瑪蘭廳」，要注意那是較後來的名稱與建制；林爽文起事前應寫「諸羅縣」，因為「嘉義」是事件後因諸羅守城有功才改名。</w:t>
      </w:r>
      <w:r w:rsidRPr="00864B36">
        <w:rPr>
          <w:rFonts w:ascii="PMingLiU" w:eastAsia="PMingLiU" w:hAnsi="PMingLiU"/>
          <w:sz w:val="22"/>
          <w:szCs w:val="22"/>
        </w:rPr>
        <w:t xml:space="preserve">   </w:t>
      </w:r>
    </w:p>
    <w:p w14:paraId="3B67139A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864B36">
        <w:rPr>
          <w:rFonts w:ascii="PMingLiU" w:eastAsia="PMingLiU" w:hAnsi="PMingLiU" w:hint="eastAsia"/>
          <w:sz w:val="22"/>
          <w:szCs w:val="22"/>
          <w:highlight w:val="yellow"/>
        </w:rPr>
        <w:t>參考：賴福順，《乾隆重要戰爭之軍需硏究》。臺北：國立故宮博物院，</w:t>
      </w:r>
      <w:r w:rsidRPr="00864B36">
        <w:rPr>
          <w:rFonts w:ascii="PMingLiU" w:eastAsia="PMingLiU" w:hAnsi="PMingLiU"/>
          <w:sz w:val="22"/>
          <w:szCs w:val="22"/>
          <w:highlight w:val="yellow"/>
        </w:rPr>
        <w:t>1984</w:t>
      </w:r>
      <w:r w:rsidRPr="00864B36">
        <w:rPr>
          <w:rFonts w:ascii="PMingLiU" w:eastAsia="PMingLiU" w:hAnsi="PMingLiU" w:hint="eastAsia"/>
          <w:sz w:val="22"/>
          <w:szCs w:val="22"/>
          <w:highlight w:val="yellow"/>
        </w:rPr>
        <w:t>。</w:t>
      </w:r>
    </w:p>
    <w:p w14:paraId="7C67D89A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864B36">
        <w:rPr>
          <w:rFonts w:ascii="PMingLiU" w:eastAsia="PMingLiU" w:hAnsi="PMingLiU" w:hint="eastAsia"/>
          <w:sz w:val="22"/>
          <w:szCs w:val="22"/>
          <w:highlight w:val="yellow"/>
        </w:rPr>
        <w:t>參考：莊吉發，《清高宗十全武功研究》。北京：中華書局，1987。</w:t>
      </w:r>
    </w:p>
    <w:p w14:paraId="36ED8E19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52711C30" w14:textId="77777777" w:rsidR="00567599" w:rsidRPr="00864B36" w:rsidRDefault="00567599" w:rsidP="00567599">
      <w:pPr>
        <w:spacing w:after="0" w:line="240" w:lineRule="auto"/>
        <w:ind w:left="360"/>
        <w:rPr>
          <w:rFonts w:ascii="PMingLiU" w:eastAsia="PMingLiU" w:hAnsi="PMingLiU"/>
          <w:sz w:val="22"/>
          <w:szCs w:val="22"/>
        </w:rPr>
      </w:pPr>
      <w:r w:rsidRPr="00864B36">
        <w:rPr>
          <w:rFonts w:ascii="PMingLiU" w:eastAsia="PMingLiU" w:hAnsi="PMingLiU" w:hint="eastAsia"/>
          <w:sz w:val="22"/>
          <w:szCs w:val="22"/>
        </w:rPr>
        <w:t>一、臺灣府：清代臺灣最高地方行政單位</w:t>
      </w:r>
    </w:p>
    <w:p w14:paraId="585345BD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0DA73782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864B36">
        <w:rPr>
          <w:rFonts w:ascii="PMingLiU" w:eastAsia="PMingLiU" w:hAnsi="PMingLiU" w:hint="eastAsia"/>
          <w:sz w:val="22"/>
          <w:szCs w:val="22"/>
        </w:rPr>
        <w:t>清代臺灣在起事前不是獨立省份，而是福建省轄下的海外府。臺灣府是全臺最高地方行政單位，府治在臺灣縣，也就是府城所在的今臺南一帶。從行政層級來看，臺灣府受福建巡撫、閩浙總督等上級官僚體系節制；府以下再分設縣、廳，處理地方司法、賦稅、治安、教化、公共工程與民政事務。張勝彥整理清初臺灣廳縣制度時指出，清領臺灣之初，臺灣、鳳山、諸羅三縣除各設知縣外，也有教諭、巡檢、典史等官，臺灣縣還設有縣丞，但整體官治組織比中國大陸其他地方簡單。</w:t>
      </w:r>
      <w:r w:rsidRPr="00864B36">
        <w:rPr>
          <w:rFonts w:ascii="PMingLiU" w:eastAsia="PMingLiU" w:hAnsi="PMingLiU"/>
          <w:sz w:val="22"/>
          <w:szCs w:val="22"/>
        </w:rPr>
        <w:t xml:space="preserve"> </w:t>
      </w:r>
    </w:p>
    <w:p w14:paraId="63093384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730A3F1E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864B36">
        <w:rPr>
          <w:rFonts w:ascii="PMingLiU" w:eastAsia="PMingLiU" w:hAnsi="PMingLiU" w:hint="eastAsia"/>
          <w:sz w:val="22"/>
          <w:szCs w:val="22"/>
          <w:highlight w:val="yellow"/>
        </w:rPr>
        <w:t>參考：張勝彥，《清代臺灣廳縣制度之研究》。臺北：華世出版社，1993年3月。</w:t>
      </w:r>
    </w:p>
    <w:p w14:paraId="6B245EE0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6D58B6AD" w14:textId="77777777" w:rsidR="00567599" w:rsidRPr="00864B36" w:rsidRDefault="00567599" w:rsidP="00567599">
      <w:pPr>
        <w:spacing w:after="0" w:line="240" w:lineRule="auto"/>
        <w:ind w:left="360"/>
        <w:rPr>
          <w:rFonts w:ascii="PMingLiU" w:eastAsia="PMingLiU" w:hAnsi="PMingLiU"/>
          <w:sz w:val="22"/>
          <w:szCs w:val="22"/>
        </w:rPr>
      </w:pPr>
      <w:r w:rsidRPr="00864B36">
        <w:rPr>
          <w:rFonts w:ascii="PMingLiU" w:eastAsia="PMingLiU" w:hAnsi="PMingLiU" w:hint="eastAsia"/>
          <w:sz w:val="22"/>
          <w:szCs w:val="22"/>
        </w:rPr>
        <w:t>二、臺灣縣：府治所在，行政、軍政、文教中心集中於府城</w:t>
      </w:r>
    </w:p>
    <w:p w14:paraId="7F64FC10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6026DD55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864B36">
        <w:rPr>
          <w:rFonts w:ascii="PMingLiU" w:eastAsia="PMingLiU" w:hAnsi="PMingLiU" w:hint="eastAsia"/>
          <w:sz w:val="22"/>
          <w:szCs w:val="22"/>
        </w:rPr>
        <w:t>臺灣縣是臺灣府的核心縣，府城位於臺灣縣，即今臺南一帶。起事前，清廷在臺的行政、軍政和文教重心高度集中於府城。這對林爽文戰爭很重要，因為府城一旦失守，等於清廷在臺灣的最高行政中心被摧毀。因此，戰爭前兩階段中，黃仕簡、常青等人長期守府城，不只是軍事保守，也反映府城作為行政中心的不可失守。趙翼相關研究的</w:t>
      </w:r>
      <w:r w:rsidRPr="00864B36">
        <w:rPr>
          <w:rFonts w:ascii="PMingLiU" w:eastAsia="PMingLiU" w:hAnsi="PMingLiU"/>
          <w:sz w:val="22"/>
          <w:szCs w:val="22"/>
        </w:rPr>
        <w:t xml:space="preserve"> notes </w:t>
      </w:r>
      <w:r w:rsidRPr="00864B36">
        <w:rPr>
          <w:rFonts w:ascii="PMingLiU" w:eastAsia="PMingLiU" w:hAnsi="PMingLiU" w:hint="eastAsia"/>
          <w:sz w:val="22"/>
          <w:szCs w:val="22"/>
        </w:rPr>
        <w:t>也提到，臺灣設府縣廳後，軍政文教重心集中於臺南，這正可用來說明府城的核心地位。</w:t>
      </w:r>
      <w:r w:rsidRPr="00864B36">
        <w:rPr>
          <w:rFonts w:ascii="PMingLiU" w:eastAsia="PMingLiU" w:hAnsi="PMingLiU"/>
          <w:sz w:val="22"/>
          <w:szCs w:val="22"/>
        </w:rPr>
        <w:t xml:space="preserve"> </w:t>
      </w:r>
    </w:p>
    <w:p w14:paraId="4E05F8E5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562A3C10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864B36">
        <w:rPr>
          <w:rFonts w:ascii="PMingLiU" w:eastAsia="PMingLiU" w:hAnsi="PMingLiU" w:hint="eastAsia"/>
          <w:sz w:val="22"/>
          <w:szCs w:val="22"/>
          <w:highlight w:val="yellow"/>
        </w:rPr>
        <w:t>參考：衛琪，〈趙翼與臺灣〉，《國立臺中科技大學通識教育學報》，第3期，2014年12月，頁79–98。</w:t>
      </w:r>
    </w:p>
    <w:p w14:paraId="2D4F079B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4BE39E53" w14:textId="77777777" w:rsidR="00567599" w:rsidRPr="00864B36" w:rsidRDefault="00567599" w:rsidP="00567599">
      <w:pPr>
        <w:spacing w:after="0" w:line="240" w:lineRule="auto"/>
        <w:ind w:left="360"/>
        <w:rPr>
          <w:rFonts w:ascii="PMingLiU" w:eastAsia="PMingLiU" w:hAnsi="PMingLiU"/>
          <w:sz w:val="22"/>
          <w:szCs w:val="22"/>
        </w:rPr>
      </w:pPr>
      <w:r w:rsidRPr="00864B36">
        <w:rPr>
          <w:rFonts w:ascii="PMingLiU" w:eastAsia="PMingLiU" w:hAnsi="PMingLiU" w:hint="eastAsia"/>
          <w:sz w:val="22"/>
          <w:szCs w:val="22"/>
        </w:rPr>
        <w:t>三、鳳山縣：南路行政區，也是莊大田響應的核心戰場</w:t>
      </w:r>
    </w:p>
    <w:p w14:paraId="763DA7E5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365F02EA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864B36">
        <w:rPr>
          <w:rFonts w:ascii="PMingLiU" w:eastAsia="PMingLiU" w:hAnsi="PMingLiU" w:hint="eastAsia"/>
          <w:sz w:val="22"/>
          <w:szCs w:val="22"/>
        </w:rPr>
        <w:t>鳳山縣位於臺灣府南部，大致對應今高雄、屏東北部一帶，是南路重要行政區。林爽文起事後，莊大田在南路響應，攻陷鳳山，使鳳山縣成為南路戰場的核心。鳳山對戰局的意義在於，它直接威脅府城南面，使常青在第二階段難以安心北上救諸羅或直攻林爽文。李天鳴整理諸羅戰役時指出，林爽文起事後，莊大田攻陷鳳山；清軍後來雖一度收復鳳山，但三月莊大田又再度攻陷鳳山，顯示南路戰場反覆，牽制清軍甚深。</w:t>
      </w:r>
      <w:r w:rsidRPr="00864B36">
        <w:rPr>
          <w:rFonts w:ascii="PMingLiU" w:eastAsia="PMingLiU" w:hAnsi="PMingLiU"/>
          <w:sz w:val="22"/>
          <w:szCs w:val="22"/>
        </w:rPr>
        <w:t xml:space="preserve"> </w:t>
      </w:r>
    </w:p>
    <w:p w14:paraId="75FF951C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690845A9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864B36">
        <w:rPr>
          <w:rFonts w:ascii="PMingLiU" w:eastAsia="PMingLiU" w:hAnsi="PMingLiU" w:hint="eastAsia"/>
          <w:sz w:val="22"/>
          <w:szCs w:val="22"/>
          <w:highlight w:val="yellow"/>
        </w:rPr>
        <w:t>參考：李天鳴，〈林爽文事件中的諸羅戰役〉，《故宮學術季刊》，第十九卷第一期，2001年秋季，頁151–194。</w:t>
      </w:r>
    </w:p>
    <w:p w14:paraId="7D655336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33363142" w14:textId="77777777" w:rsidR="00567599" w:rsidRPr="00864B36" w:rsidRDefault="00567599" w:rsidP="00567599">
      <w:pPr>
        <w:spacing w:after="0" w:line="240" w:lineRule="auto"/>
        <w:ind w:left="360"/>
        <w:rPr>
          <w:rFonts w:ascii="PMingLiU" w:eastAsia="PMingLiU" w:hAnsi="PMingLiU"/>
          <w:sz w:val="22"/>
          <w:szCs w:val="22"/>
        </w:rPr>
      </w:pPr>
      <w:r w:rsidRPr="00864B36">
        <w:rPr>
          <w:rFonts w:ascii="PMingLiU" w:eastAsia="PMingLiU" w:hAnsi="PMingLiU" w:hint="eastAsia"/>
          <w:sz w:val="22"/>
          <w:szCs w:val="22"/>
        </w:rPr>
        <w:t>四、諸羅縣：中路樞紐，事件後才改名嘉義</w:t>
      </w:r>
    </w:p>
    <w:p w14:paraId="410C875F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18B20B8D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864B36">
        <w:rPr>
          <w:rFonts w:ascii="PMingLiU" w:eastAsia="PMingLiU" w:hAnsi="PMingLiU" w:hint="eastAsia"/>
          <w:sz w:val="22"/>
          <w:szCs w:val="22"/>
        </w:rPr>
        <w:t>諸羅縣位於府城以北，是臺灣西部中路的重要行政區。起事前必須稱為諸羅縣，不應稱為嘉義縣。諸羅在林爽文戰爭中極重要，因為它連接府城、鹿仔港、彰化與林爽文大里杙根據地；林軍若控制諸羅，就能切斷清軍南北聯絡。李天鳴指出，乾隆五十一年十二月林軍攻佔諸羅，乾隆五十二年正月柴大紀收復諸羅，六月以後林軍又長期圍困諸羅，直到福康安抵臺後才解除諸羅之圍。這也解釋了為甚麼諸羅後來因守城有功而被乾隆改名為嘉義。</w:t>
      </w:r>
      <w:r w:rsidRPr="00864B36">
        <w:rPr>
          <w:rFonts w:ascii="PMingLiU" w:eastAsia="PMingLiU" w:hAnsi="PMingLiU"/>
          <w:sz w:val="22"/>
          <w:szCs w:val="22"/>
        </w:rPr>
        <w:t xml:space="preserve"> </w:t>
      </w:r>
    </w:p>
    <w:p w14:paraId="0171D101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066BD05C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864B36">
        <w:rPr>
          <w:rFonts w:ascii="PMingLiU" w:eastAsia="PMingLiU" w:hAnsi="PMingLiU" w:hint="eastAsia"/>
          <w:sz w:val="22"/>
          <w:szCs w:val="22"/>
          <w:highlight w:val="yellow"/>
        </w:rPr>
        <w:t>參考：李天鳴，〈林爽文事件中的諸羅戰役〉，《故宮學術季刊》，第十九卷第一期，2001年秋季，頁151–194。</w:t>
      </w:r>
    </w:p>
    <w:p w14:paraId="7125075A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3497FA4D" w14:textId="77777777" w:rsidR="00567599" w:rsidRPr="00864B36" w:rsidRDefault="00567599" w:rsidP="00567599">
      <w:pPr>
        <w:spacing w:after="0" w:line="240" w:lineRule="auto"/>
        <w:ind w:left="360"/>
        <w:rPr>
          <w:rFonts w:ascii="PMingLiU" w:eastAsia="PMingLiU" w:hAnsi="PMingLiU"/>
          <w:sz w:val="22"/>
          <w:szCs w:val="22"/>
        </w:rPr>
      </w:pPr>
      <w:r w:rsidRPr="00864B36">
        <w:rPr>
          <w:rFonts w:ascii="PMingLiU" w:eastAsia="PMingLiU" w:hAnsi="PMingLiU" w:hint="eastAsia"/>
          <w:sz w:val="22"/>
          <w:szCs w:val="22"/>
        </w:rPr>
        <w:lastRenderedPageBreak/>
        <w:t>五、彰化縣：北路／中北部行政區，也是林爽文起事核心</w:t>
      </w:r>
    </w:p>
    <w:p w14:paraId="456A1BBD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12B6EB3E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864B36">
        <w:rPr>
          <w:rFonts w:ascii="PMingLiU" w:eastAsia="PMingLiU" w:hAnsi="PMingLiU" w:hint="eastAsia"/>
          <w:sz w:val="22"/>
          <w:szCs w:val="22"/>
        </w:rPr>
        <w:t>彰化縣是雍正元年從諸羅縣北部劃出而設，範圍包括今彰化、臺中、南投等中部地區。這一縣正是林爽文起事的核心行政區。莊吉發指出，雍正元年劃諸羅虎尾以北至大甲為彰化縣，自大甲以北增設淡水廳；林爽文即居於彰化大里杙一帶，起事後先攻大墩營盤，再攻陷彰化縣城。從行政地理上看，彰化縣既是清廷北路治理的重要地區，也是天地會與分類械鬥問題最容易轉化為大規模戰事的區域。</w:t>
      </w:r>
      <w:r w:rsidRPr="00864B36">
        <w:rPr>
          <w:rFonts w:ascii="PMingLiU" w:eastAsia="PMingLiU" w:hAnsi="PMingLiU"/>
          <w:sz w:val="22"/>
          <w:szCs w:val="22"/>
        </w:rPr>
        <w:t xml:space="preserve"> </w:t>
      </w:r>
    </w:p>
    <w:p w14:paraId="0E6B6B3D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49FDC21A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864B36">
        <w:rPr>
          <w:rFonts w:ascii="PMingLiU" w:eastAsia="PMingLiU" w:hAnsi="PMingLiU" w:hint="eastAsia"/>
          <w:sz w:val="22"/>
          <w:szCs w:val="22"/>
          <w:highlight w:val="yellow"/>
        </w:rPr>
        <w:t>參考：莊吉發，《清高宗十全武功研究》。北京：中華書局，1987。</w:t>
      </w:r>
    </w:p>
    <w:p w14:paraId="270C291A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18919321" w14:textId="77777777" w:rsidR="00567599" w:rsidRPr="00864B36" w:rsidRDefault="00567599" w:rsidP="00567599">
      <w:pPr>
        <w:spacing w:after="0" w:line="240" w:lineRule="auto"/>
        <w:ind w:left="360"/>
        <w:rPr>
          <w:rFonts w:ascii="PMingLiU" w:eastAsia="PMingLiU" w:hAnsi="PMingLiU"/>
          <w:sz w:val="22"/>
          <w:szCs w:val="22"/>
        </w:rPr>
      </w:pPr>
      <w:r w:rsidRPr="00864B36">
        <w:rPr>
          <w:rFonts w:ascii="PMingLiU" w:eastAsia="PMingLiU" w:hAnsi="PMingLiU" w:hint="eastAsia"/>
          <w:sz w:val="22"/>
          <w:szCs w:val="22"/>
        </w:rPr>
        <w:t>六、淡水廳：大甲以北的北臺灣行政區</w:t>
      </w:r>
    </w:p>
    <w:p w14:paraId="23C613CF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00F2B63C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864B36">
        <w:rPr>
          <w:rFonts w:ascii="PMingLiU" w:eastAsia="PMingLiU" w:hAnsi="PMingLiU" w:hint="eastAsia"/>
          <w:sz w:val="22"/>
          <w:szCs w:val="22"/>
        </w:rPr>
        <w:t>淡水廳設於大甲以北，管轄北臺灣較新開發地區，包含竹塹、淡水、艋舺等地。淡水廳不是縣，而是廳，這反映清廷對北臺灣這類新墾、邊遠、移民快速增加地區採取較特殊的行政安排。林爽文事件中，淡水廳雖不是戰爭核心，但仍受到牽動；清軍不敢完全抽走北路兵力，因為北部仍需防守。許毓良的</w:t>
      </w:r>
      <w:r w:rsidRPr="00864B36">
        <w:rPr>
          <w:rFonts w:ascii="PMingLiU" w:eastAsia="PMingLiU" w:hAnsi="PMingLiU"/>
          <w:sz w:val="22"/>
          <w:szCs w:val="22"/>
        </w:rPr>
        <w:t xml:space="preserve"> notes </w:t>
      </w:r>
      <w:r w:rsidRPr="00864B36">
        <w:rPr>
          <w:rFonts w:ascii="PMingLiU" w:eastAsia="PMingLiU" w:hAnsi="PMingLiU" w:hint="eastAsia"/>
          <w:sz w:val="22"/>
          <w:szCs w:val="22"/>
        </w:rPr>
        <w:t>提到，乾隆二十一年數據中，淡水部分兵民比例相對較好，這使王芬北攻時需要避其鋒，也顯示淡水廳在北路防務上有其特殊性。</w:t>
      </w:r>
      <w:r w:rsidRPr="00864B36">
        <w:rPr>
          <w:rFonts w:ascii="PMingLiU" w:eastAsia="PMingLiU" w:hAnsi="PMingLiU"/>
          <w:sz w:val="22"/>
          <w:szCs w:val="22"/>
        </w:rPr>
        <w:t xml:space="preserve"> </w:t>
      </w:r>
    </w:p>
    <w:p w14:paraId="7A45BA97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601425CC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864B36">
        <w:rPr>
          <w:rFonts w:ascii="PMingLiU" w:eastAsia="PMingLiU" w:hAnsi="PMingLiU" w:hint="eastAsia"/>
          <w:sz w:val="22"/>
          <w:szCs w:val="22"/>
          <w:highlight w:val="yellow"/>
        </w:rPr>
        <w:t>參考：許毓良，《清代臺灣軍事與社會》。北京：九州出版社，2008年11月。</w:t>
      </w:r>
    </w:p>
    <w:p w14:paraId="7FFADA8C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559F2C16" w14:textId="77777777" w:rsidR="00567599" w:rsidRPr="00864B36" w:rsidRDefault="00567599" w:rsidP="00567599">
      <w:pPr>
        <w:spacing w:after="0" w:line="240" w:lineRule="auto"/>
        <w:ind w:left="360"/>
        <w:rPr>
          <w:rFonts w:ascii="PMingLiU" w:eastAsia="PMingLiU" w:hAnsi="PMingLiU"/>
          <w:sz w:val="22"/>
          <w:szCs w:val="22"/>
        </w:rPr>
      </w:pPr>
      <w:r w:rsidRPr="00864B36">
        <w:rPr>
          <w:rFonts w:ascii="PMingLiU" w:eastAsia="PMingLiU" w:hAnsi="PMingLiU" w:hint="eastAsia"/>
          <w:sz w:val="22"/>
          <w:szCs w:val="22"/>
        </w:rPr>
        <w:t>七、澎湖廳／澎湖防務：行政區以外的海上門戶</w:t>
      </w:r>
    </w:p>
    <w:p w14:paraId="566B322A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69705DDB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864B36">
        <w:rPr>
          <w:rFonts w:ascii="PMingLiU" w:eastAsia="PMingLiU" w:hAnsi="PMingLiU" w:hint="eastAsia"/>
          <w:sz w:val="22"/>
          <w:szCs w:val="22"/>
        </w:rPr>
        <w:t>澎湖在林爽文起事前是臺灣海上交通與防務的重要節點。張勝彥整理清初官制時提到，臺灣縣下設有澎湖巡檢司巡檢，反映澎湖在早期行政與防務系統中的特殊位置。從戰爭和資訊傳遞角度看，澎湖的重要性不只是行政名稱，而是它位於福建與臺灣之間，是渡海、海防、軍需與文書往返的中介空間。許毓良《清代臺灣的海防》的</w:t>
      </w:r>
      <w:r w:rsidRPr="00864B36">
        <w:rPr>
          <w:rFonts w:ascii="PMingLiU" w:eastAsia="PMingLiU" w:hAnsi="PMingLiU"/>
          <w:sz w:val="22"/>
          <w:szCs w:val="22"/>
        </w:rPr>
        <w:t xml:space="preserve"> notes </w:t>
      </w:r>
      <w:r w:rsidRPr="00864B36">
        <w:rPr>
          <w:rFonts w:ascii="PMingLiU" w:eastAsia="PMingLiU" w:hAnsi="PMingLiU" w:hint="eastAsia"/>
          <w:sz w:val="22"/>
          <w:szCs w:val="22"/>
        </w:rPr>
        <w:t>也指出，澎湖被視為臺灣門戶，鹿耳門則是臺灣咽喉，這有助於說明為甚麼林爽文戰爭中的調兵、軍需和信息傳遞都不能只看島內縣廳。</w:t>
      </w:r>
      <w:r w:rsidRPr="00864B36">
        <w:rPr>
          <w:rFonts w:ascii="PMingLiU" w:eastAsia="PMingLiU" w:hAnsi="PMingLiU"/>
          <w:sz w:val="22"/>
          <w:szCs w:val="22"/>
        </w:rPr>
        <w:t xml:space="preserve">   </w:t>
      </w:r>
    </w:p>
    <w:p w14:paraId="16CD8A48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663E98F6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864B36">
        <w:rPr>
          <w:rFonts w:ascii="PMingLiU" w:eastAsia="PMingLiU" w:hAnsi="PMingLiU" w:hint="eastAsia"/>
          <w:sz w:val="22"/>
          <w:szCs w:val="22"/>
          <w:highlight w:val="yellow"/>
        </w:rPr>
        <w:t>參考：張勝彥，《清代臺灣廳縣制度之研究》。臺北：華世出版社，1993年3月。</w:t>
      </w:r>
    </w:p>
    <w:p w14:paraId="0A7F0709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864B36">
        <w:rPr>
          <w:rFonts w:ascii="PMingLiU" w:eastAsia="PMingLiU" w:hAnsi="PMingLiU" w:hint="eastAsia"/>
          <w:sz w:val="22"/>
          <w:szCs w:val="22"/>
          <w:highlight w:val="yellow"/>
        </w:rPr>
        <w:t>參考：許毓良，《清代臺灣的海防》。北京：社會科學文獻出版社，2003年7月。</w:t>
      </w:r>
    </w:p>
    <w:p w14:paraId="463DACCD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471B07B8" w14:textId="77777777" w:rsidR="00567599" w:rsidRPr="00864B36" w:rsidRDefault="00567599" w:rsidP="00567599">
      <w:pPr>
        <w:spacing w:after="0" w:line="240" w:lineRule="auto"/>
        <w:ind w:left="360"/>
        <w:rPr>
          <w:rFonts w:ascii="PMingLiU" w:eastAsia="PMingLiU" w:hAnsi="PMingLiU"/>
          <w:sz w:val="22"/>
          <w:szCs w:val="22"/>
        </w:rPr>
      </w:pPr>
      <w:r w:rsidRPr="00864B36">
        <w:rPr>
          <w:rFonts w:ascii="PMingLiU" w:eastAsia="PMingLiU" w:hAnsi="PMingLiU" w:hint="eastAsia"/>
          <w:sz w:val="22"/>
          <w:szCs w:val="22"/>
        </w:rPr>
        <w:t>八、官制特點：有縣廳制度，但官治組織較簡單</w:t>
      </w:r>
    </w:p>
    <w:p w14:paraId="7303F01D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791F734E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864B36">
        <w:rPr>
          <w:rFonts w:ascii="PMingLiU" w:eastAsia="PMingLiU" w:hAnsi="PMingLiU" w:hint="eastAsia"/>
          <w:sz w:val="22"/>
          <w:szCs w:val="22"/>
        </w:rPr>
        <w:t>張勝彥的研究特別有用，因為它提醒我們：清廷在臺灣確實設有府、縣、廳等行政制度，但官治組織相對簡單。清初臺灣、鳳山、諸羅各縣有知縣、教諭、巡檢、典史等官，臺灣縣另有縣丞；但相較內地，未設主簿、倉庫大使等，訓導亦未設。這反映清代臺灣行政架構雖已建立，卻屬較簡化的海外邊區治理模式。林爽文起事前，這種簡化行政體系面對移民增加、分類械鬥、會黨擴張與兵力分散時，治理能力自然有限。</w:t>
      </w:r>
      <w:r w:rsidRPr="00864B36">
        <w:rPr>
          <w:rFonts w:ascii="PMingLiU" w:eastAsia="PMingLiU" w:hAnsi="PMingLiU"/>
          <w:sz w:val="22"/>
          <w:szCs w:val="22"/>
        </w:rPr>
        <w:t xml:space="preserve"> </w:t>
      </w:r>
    </w:p>
    <w:p w14:paraId="46977165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3AE6057C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864B36">
        <w:rPr>
          <w:rFonts w:ascii="PMingLiU" w:eastAsia="PMingLiU" w:hAnsi="PMingLiU" w:hint="eastAsia"/>
          <w:sz w:val="22"/>
          <w:szCs w:val="22"/>
          <w:highlight w:val="yellow"/>
        </w:rPr>
        <w:t>參考：張勝彥，《清代臺灣廳縣制度之研究》。臺北：華世出版社，1993年3月。</w:t>
      </w:r>
    </w:p>
    <w:p w14:paraId="256D3F10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6B191A8F" w14:textId="77777777" w:rsidR="00567599" w:rsidRPr="00864B36" w:rsidRDefault="00567599" w:rsidP="00567599">
      <w:pPr>
        <w:spacing w:after="0" w:line="240" w:lineRule="auto"/>
        <w:ind w:left="360"/>
        <w:rPr>
          <w:rFonts w:ascii="PMingLiU" w:eastAsia="PMingLiU" w:hAnsi="PMingLiU"/>
          <w:sz w:val="22"/>
          <w:szCs w:val="22"/>
        </w:rPr>
      </w:pPr>
      <w:r w:rsidRPr="00864B36">
        <w:rPr>
          <w:rFonts w:ascii="PMingLiU" w:eastAsia="PMingLiU" w:hAnsi="PMingLiU" w:hint="eastAsia"/>
          <w:sz w:val="22"/>
          <w:szCs w:val="22"/>
        </w:rPr>
        <w:t>九、簡表：林爽文起事前臺灣行政區劃</w:t>
      </w:r>
    </w:p>
    <w:p w14:paraId="3D1CC04F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130A60CE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864B36">
        <w:rPr>
          <w:rFonts w:ascii="PMingLiU" w:eastAsia="PMingLiU" w:hAnsi="PMingLiU" w:hint="eastAsia"/>
          <w:sz w:val="22"/>
          <w:szCs w:val="22"/>
        </w:rPr>
        <w:t>層級</w:t>
      </w:r>
      <w:r w:rsidRPr="00864B36">
        <w:rPr>
          <w:rFonts w:ascii="PMingLiU" w:eastAsia="PMingLiU" w:hAnsi="PMingLiU" w:hint="eastAsia"/>
          <w:sz w:val="22"/>
          <w:szCs w:val="22"/>
        </w:rPr>
        <w:tab/>
        <w:t>名稱</w:t>
      </w:r>
      <w:r w:rsidRPr="00864B36">
        <w:rPr>
          <w:rFonts w:ascii="PMingLiU" w:eastAsia="PMingLiU" w:hAnsi="PMingLiU" w:hint="eastAsia"/>
          <w:sz w:val="22"/>
          <w:szCs w:val="22"/>
        </w:rPr>
        <w:tab/>
        <w:t>大致位置／功能</w:t>
      </w:r>
      <w:r w:rsidRPr="00864B36">
        <w:rPr>
          <w:rFonts w:ascii="PMingLiU" w:eastAsia="PMingLiU" w:hAnsi="PMingLiU" w:hint="eastAsia"/>
          <w:sz w:val="22"/>
          <w:szCs w:val="22"/>
        </w:rPr>
        <w:tab/>
        <w:t>與林爽文事件關係</w:t>
      </w:r>
    </w:p>
    <w:p w14:paraId="10308AF7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864B36">
        <w:rPr>
          <w:rFonts w:ascii="PMingLiU" w:eastAsia="PMingLiU" w:hAnsi="PMingLiU" w:hint="eastAsia"/>
          <w:sz w:val="22"/>
          <w:szCs w:val="22"/>
        </w:rPr>
        <w:t>省</w:t>
      </w:r>
      <w:r w:rsidRPr="00864B36">
        <w:rPr>
          <w:rFonts w:ascii="PMingLiU" w:eastAsia="PMingLiU" w:hAnsi="PMingLiU" w:hint="eastAsia"/>
          <w:sz w:val="22"/>
          <w:szCs w:val="22"/>
        </w:rPr>
        <w:tab/>
        <w:t>福建省</w:t>
      </w:r>
      <w:r w:rsidRPr="00864B36">
        <w:rPr>
          <w:rFonts w:ascii="PMingLiU" w:eastAsia="PMingLiU" w:hAnsi="PMingLiU" w:hint="eastAsia"/>
          <w:sz w:val="22"/>
          <w:szCs w:val="22"/>
        </w:rPr>
        <w:tab/>
        <w:t>臺灣隸屬福建</w:t>
      </w:r>
      <w:r w:rsidRPr="00864B36">
        <w:rPr>
          <w:rFonts w:ascii="PMingLiU" w:eastAsia="PMingLiU" w:hAnsi="PMingLiU" w:hint="eastAsia"/>
          <w:sz w:val="22"/>
          <w:szCs w:val="22"/>
        </w:rPr>
        <w:tab/>
        <w:t>臺灣不是獨立省份，戰事需閩浙總督、福建巡撫與內地支援</w:t>
      </w:r>
    </w:p>
    <w:p w14:paraId="314FEE30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864B36">
        <w:rPr>
          <w:rFonts w:ascii="PMingLiU" w:eastAsia="PMingLiU" w:hAnsi="PMingLiU" w:hint="eastAsia"/>
          <w:sz w:val="22"/>
          <w:szCs w:val="22"/>
        </w:rPr>
        <w:t>府</w:t>
      </w:r>
      <w:r w:rsidRPr="00864B36">
        <w:rPr>
          <w:rFonts w:ascii="PMingLiU" w:eastAsia="PMingLiU" w:hAnsi="PMingLiU" w:hint="eastAsia"/>
          <w:sz w:val="22"/>
          <w:szCs w:val="22"/>
        </w:rPr>
        <w:tab/>
        <w:t>臺灣府</w:t>
      </w:r>
      <w:r w:rsidRPr="00864B36">
        <w:rPr>
          <w:rFonts w:ascii="PMingLiU" w:eastAsia="PMingLiU" w:hAnsi="PMingLiU" w:hint="eastAsia"/>
          <w:sz w:val="22"/>
          <w:szCs w:val="22"/>
        </w:rPr>
        <w:tab/>
        <w:t>府治在臺灣縣／府城</w:t>
      </w:r>
      <w:r w:rsidRPr="00864B36">
        <w:rPr>
          <w:rFonts w:ascii="PMingLiU" w:eastAsia="PMingLiU" w:hAnsi="PMingLiU" w:hint="eastAsia"/>
          <w:sz w:val="22"/>
          <w:szCs w:val="22"/>
        </w:rPr>
        <w:tab/>
        <w:t>全臺最高地方行政單位</w:t>
      </w:r>
    </w:p>
    <w:p w14:paraId="627173B6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864B36">
        <w:rPr>
          <w:rFonts w:ascii="PMingLiU" w:eastAsia="PMingLiU" w:hAnsi="PMingLiU" w:hint="eastAsia"/>
          <w:sz w:val="22"/>
          <w:szCs w:val="22"/>
        </w:rPr>
        <w:t>縣</w:t>
      </w:r>
      <w:r w:rsidRPr="00864B36">
        <w:rPr>
          <w:rFonts w:ascii="PMingLiU" w:eastAsia="PMingLiU" w:hAnsi="PMingLiU" w:hint="eastAsia"/>
          <w:sz w:val="22"/>
          <w:szCs w:val="22"/>
        </w:rPr>
        <w:tab/>
        <w:t>臺灣縣</w:t>
      </w:r>
      <w:r w:rsidRPr="00864B36">
        <w:rPr>
          <w:rFonts w:ascii="PMingLiU" w:eastAsia="PMingLiU" w:hAnsi="PMingLiU" w:hint="eastAsia"/>
          <w:sz w:val="22"/>
          <w:szCs w:val="22"/>
        </w:rPr>
        <w:tab/>
        <w:t>今臺南一帶</w:t>
      </w:r>
      <w:r w:rsidRPr="00864B36">
        <w:rPr>
          <w:rFonts w:ascii="PMingLiU" w:eastAsia="PMingLiU" w:hAnsi="PMingLiU" w:hint="eastAsia"/>
          <w:sz w:val="22"/>
          <w:szCs w:val="22"/>
        </w:rPr>
        <w:tab/>
        <w:t>府城所在地，清廷在臺行政與軍事中心</w:t>
      </w:r>
    </w:p>
    <w:p w14:paraId="357109E0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864B36">
        <w:rPr>
          <w:rFonts w:ascii="PMingLiU" w:eastAsia="PMingLiU" w:hAnsi="PMingLiU" w:hint="eastAsia"/>
          <w:sz w:val="22"/>
          <w:szCs w:val="22"/>
        </w:rPr>
        <w:t>縣</w:t>
      </w:r>
      <w:r w:rsidRPr="00864B36">
        <w:rPr>
          <w:rFonts w:ascii="PMingLiU" w:eastAsia="PMingLiU" w:hAnsi="PMingLiU" w:hint="eastAsia"/>
          <w:sz w:val="22"/>
          <w:szCs w:val="22"/>
        </w:rPr>
        <w:tab/>
        <w:t>鳳山縣</w:t>
      </w:r>
      <w:r w:rsidRPr="00864B36">
        <w:rPr>
          <w:rFonts w:ascii="PMingLiU" w:eastAsia="PMingLiU" w:hAnsi="PMingLiU" w:hint="eastAsia"/>
          <w:sz w:val="22"/>
          <w:szCs w:val="22"/>
        </w:rPr>
        <w:tab/>
        <w:t>今高雄、屏東北部一帶</w:t>
      </w:r>
      <w:r w:rsidRPr="00864B36">
        <w:rPr>
          <w:rFonts w:ascii="PMingLiU" w:eastAsia="PMingLiU" w:hAnsi="PMingLiU" w:hint="eastAsia"/>
          <w:sz w:val="22"/>
          <w:szCs w:val="22"/>
        </w:rPr>
        <w:tab/>
        <w:t>莊大田南路響應，鳳山反覆失陷與收復</w:t>
      </w:r>
    </w:p>
    <w:p w14:paraId="4C949A69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864B36">
        <w:rPr>
          <w:rFonts w:ascii="PMingLiU" w:eastAsia="PMingLiU" w:hAnsi="PMingLiU" w:hint="eastAsia"/>
          <w:sz w:val="22"/>
          <w:szCs w:val="22"/>
        </w:rPr>
        <w:t>縣</w:t>
      </w:r>
      <w:r w:rsidRPr="00864B36">
        <w:rPr>
          <w:rFonts w:ascii="PMingLiU" w:eastAsia="PMingLiU" w:hAnsi="PMingLiU" w:hint="eastAsia"/>
          <w:sz w:val="22"/>
          <w:szCs w:val="22"/>
        </w:rPr>
        <w:tab/>
        <w:t>諸羅縣</w:t>
      </w:r>
      <w:r w:rsidRPr="00864B36">
        <w:rPr>
          <w:rFonts w:ascii="PMingLiU" w:eastAsia="PMingLiU" w:hAnsi="PMingLiU" w:hint="eastAsia"/>
          <w:sz w:val="22"/>
          <w:szCs w:val="22"/>
        </w:rPr>
        <w:tab/>
        <w:t>今嘉義、雲林一帶</w:t>
      </w:r>
      <w:r w:rsidRPr="00864B36">
        <w:rPr>
          <w:rFonts w:ascii="PMingLiU" w:eastAsia="PMingLiU" w:hAnsi="PMingLiU" w:hint="eastAsia"/>
          <w:sz w:val="22"/>
          <w:szCs w:val="22"/>
        </w:rPr>
        <w:tab/>
        <w:t>中路關鍵，後因守城改名嘉義</w:t>
      </w:r>
    </w:p>
    <w:p w14:paraId="7BF48548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864B36">
        <w:rPr>
          <w:rFonts w:ascii="PMingLiU" w:eastAsia="PMingLiU" w:hAnsi="PMingLiU" w:hint="eastAsia"/>
          <w:sz w:val="22"/>
          <w:szCs w:val="22"/>
        </w:rPr>
        <w:t>縣</w:t>
      </w:r>
      <w:r w:rsidRPr="00864B36">
        <w:rPr>
          <w:rFonts w:ascii="PMingLiU" w:eastAsia="PMingLiU" w:hAnsi="PMingLiU" w:hint="eastAsia"/>
          <w:sz w:val="22"/>
          <w:szCs w:val="22"/>
        </w:rPr>
        <w:tab/>
        <w:t>彰化縣</w:t>
      </w:r>
      <w:r w:rsidRPr="00864B36">
        <w:rPr>
          <w:rFonts w:ascii="PMingLiU" w:eastAsia="PMingLiU" w:hAnsi="PMingLiU" w:hint="eastAsia"/>
          <w:sz w:val="22"/>
          <w:szCs w:val="22"/>
        </w:rPr>
        <w:tab/>
        <w:t>今彰化、臺中、南投一帶</w:t>
      </w:r>
      <w:r w:rsidRPr="00864B36">
        <w:rPr>
          <w:rFonts w:ascii="PMingLiU" w:eastAsia="PMingLiU" w:hAnsi="PMingLiU" w:hint="eastAsia"/>
          <w:sz w:val="22"/>
          <w:szCs w:val="22"/>
        </w:rPr>
        <w:tab/>
        <w:t>林爽文起事核心地區，大里杙所在</w:t>
      </w:r>
    </w:p>
    <w:p w14:paraId="6EAA24DF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864B36">
        <w:rPr>
          <w:rFonts w:ascii="PMingLiU" w:eastAsia="PMingLiU" w:hAnsi="PMingLiU" w:hint="eastAsia"/>
          <w:sz w:val="22"/>
          <w:szCs w:val="22"/>
        </w:rPr>
        <w:t>廳</w:t>
      </w:r>
      <w:r w:rsidRPr="00864B36">
        <w:rPr>
          <w:rFonts w:ascii="PMingLiU" w:eastAsia="PMingLiU" w:hAnsi="PMingLiU" w:hint="eastAsia"/>
          <w:sz w:val="22"/>
          <w:szCs w:val="22"/>
        </w:rPr>
        <w:tab/>
        <w:t>淡水廳</w:t>
      </w:r>
      <w:r w:rsidRPr="00864B36">
        <w:rPr>
          <w:rFonts w:ascii="PMingLiU" w:eastAsia="PMingLiU" w:hAnsi="PMingLiU" w:hint="eastAsia"/>
          <w:sz w:val="22"/>
          <w:szCs w:val="22"/>
        </w:rPr>
        <w:tab/>
        <w:t>大甲以北，今新竹、桃園、臺北一帶</w:t>
      </w:r>
      <w:r w:rsidRPr="00864B36">
        <w:rPr>
          <w:rFonts w:ascii="PMingLiU" w:eastAsia="PMingLiU" w:hAnsi="PMingLiU" w:hint="eastAsia"/>
          <w:sz w:val="22"/>
          <w:szCs w:val="22"/>
        </w:rPr>
        <w:tab/>
        <w:t>北路防務重要，牽制清軍兵力</w:t>
      </w:r>
    </w:p>
    <w:p w14:paraId="105579AC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864B36">
        <w:rPr>
          <w:rFonts w:ascii="PMingLiU" w:eastAsia="PMingLiU" w:hAnsi="PMingLiU" w:hint="eastAsia"/>
          <w:sz w:val="22"/>
          <w:szCs w:val="22"/>
        </w:rPr>
        <w:t>廳／海防區</w:t>
      </w:r>
      <w:r w:rsidRPr="00864B36">
        <w:rPr>
          <w:rFonts w:ascii="PMingLiU" w:eastAsia="PMingLiU" w:hAnsi="PMingLiU" w:hint="eastAsia"/>
          <w:sz w:val="22"/>
          <w:szCs w:val="22"/>
        </w:rPr>
        <w:tab/>
        <w:t>澎湖廳／澎湖防務</w:t>
      </w:r>
      <w:r w:rsidRPr="00864B36">
        <w:rPr>
          <w:rFonts w:ascii="PMingLiU" w:eastAsia="PMingLiU" w:hAnsi="PMingLiU" w:hint="eastAsia"/>
          <w:sz w:val="22"/>
          <w:szCs w:val="22"/>
        </w:rPr>
        <w:tab/>
        <w:t>澎湖群島</w:t>
      </w:r>
      <w:r w:rsidRPr="00864B36">
        <w:rPr>
          <w:rFonts w:ascii="PMingLiU" w:eastAsia="PMingLiU" w:hAnsi="PMingLiU" w:hint="eastAsia"/>
          <w:sz w:val="22"/>
          <w:szCs w:val="22"/>
        </w:rPr>
        <w:tab/>
        <w:t>福建—臺灣渡海、海防、文書軍需交通節點</w:t>
      </w:r>
    </w:p>
    <w:p w14:paraId="3A297C4C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64924E04" w14:textId="77777777" w:rsidR="00567599" w:rsidRPr="00864B36" w:rsidRDefault="00567599" w:rsidP="00567599">
      <w:pPr>
        <w:rPr>
          <w:rFonts w:ascii="PMingLiU" w:eastAsia="PMingLiU" w:hAnsi="PMingLiU"/>
          <w:sz w:val="22"/>
          <w:szCs w:val="22"/>
        </w:rPr>
      </w:pPr>
      <w:r w:rsidRPr="00864B36">
        <w:rPr>
          <w:rFonts w:ascii="PMingLiU" w:eastAsia="PMingLiU" w:hAnsi="PMingLiU"/>
          <w:sz w:val="22"/>
          <w:szCs w:val="22"/>
        </w:rPr>
        <w:br w:type="page"/>
      </w:r>
    </w:p>
    <w:p w14:paraId="5BC7EA8F" w14:textId="77777777" w:rsidR="00567599" w:rsidRPr="00864B36" w:rsidRDefault="00567599" w:rsidP="00567599">
      <w:pPr>
        <w:pStyle w:val="Heading1"/>
        <w:jc w:val="center"/>
      </w:pPr>
      <w:bookmarkStart w:id="4" w:name="_Toc228208772"/>
      <w:bookmarkStart w:id="5" w:name="_Toc228208832"/>
      <w:r w:rsidRPr="00864B36">
        <w:rPr>
          <w:rFonts w:hint="eastAsia"/>
        </w:rPr>
        <w:lastRenderedPageBreak/>
        <w:t>林爽文起事前，臺灣長官</w:t>
      </w:r>
      <w:bookmarkEnd w:id="4"/>
      <w:bookmarkEnd w:id="5"/>
    </w:p>
    <w:p w14:paraId="1F7E5A80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4D629F37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864B36">
        <w:rPr>
          <w:rFonts w:ascii="PMingLiU" w:eastAsia="PMingLiU" w:hAnsi="PMingLiU" w:hint="eastAsia"/>
          <w:sz w:val="22"/>
          <w:szCs w:val="22"/>
        </w:rPr>
        <w:t>林爽文起事前，臺灣不是獨立省份，而是福建省轄下的臺灣府。因此「臺灣最高官員」不能只用一個人概括。若按文官體系看，全臺最高在地文官是臺灣道／臺灣兵備道；若按府級行政看，臺灣府的行政長官是臺灣知府；若按軍事看，臺灣最高武官是臺灣鎮總兵官。</w:t>
      </w:r>
    </w:p>
    <w:p w14:paraId="5B82DC18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464259C3" w14:textId="77777777" w:rsidR="00567599" w:rsidRPr="00864B36" w:rsidRDefault="00567599" w:rsidP="00567599">
      <w:pPr>
        <w:spacing w:after="0" w:line="240" w:lineRule="auto"/>
        <w:ind w:left="360"/>
        <w:rPr>
          <w:rFonts w:ascii="PMingLiU" w:eastAsia="PMingLiU" w:hAnsi="PMingLiU"/>
          <w:sz w:val="22"/>
          <w:szCs w:val="22"/>
        </w:rPr>
      </w:pPr>
      <w:r w:rsidRPr="00864B36">
        <w:rPr>
          <w:rFonts w:ascii="PMingLiU" w:eastAsia="PMingLiU" w:hAnsi="PMingLiU" w:hint="eastAsia"/>
          <w:sz w:val="22"/>
          <w:szCs w:val="22"/>
        </w:rPr>
        <w:t>一、全臺最高在地文官：臺灣道／臺灣兵備道</w:t>
      </w:r>
    </w:p>
    <w:p w14:paraId="7A7A6DE5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45D6E526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864B36">
        <w:rPr>
          <w:rFonts w:ascii="PMingLiU" w:eastAsia="PMingLiU" w:hAnsi="PMingLiU" w:hint="eastAsia"/>
          <w:sz w:val="22"/>
          <w:szCs w:val="22"/>
        </w:rPr>
        <w:t>就全臺文官層級而言，最高的是臺灣道。你的</w:t>
      </w:r>
      <w:r w:rsidRPr="00864B36">
        <w:rPr>
          <w:rFonts w:ascii="PMingLiU" w:eastAsia="PMingLiU" w:hAnsi="PMingLiU"/>
          <w:sz w:val="22"/>
          <w:szCs w:val="22"/>
        </w:rPr>
        <w:t xml:space="preserve"> notes </w:t>
      </w:r>
      <w:r w:rsidRPr="00864B36">
        <w:rPr>
          <w:rFonts w:ascii="PMingLiU" w:eastAsia="PMingLiU" w:hAnsi="PMingLiU" w:hint="eastAsia"/>
          <w:sz w:val="22"/>
          <w:szCs w:val="22"/>
        </w:rPr>
        <w:t>引許雪姬《清代臺灣的綠營》指出，臺灣於康熙二十三年設置郡縣後，以臺兵備道為全臺最高文官；早期稱臺廈道，統轄廈門、臺灣，兼理學政，並有兵備銜。兵備道的職權重點是維持管內安寧秩序；必要用兵時，因有兵備銜，可命軍隊彈壓地方，或親臨指揮軍隊。</w:t>
      </w:r>
      <w:r w:rsidRPr="00864B36">
        <w:rPr>
          <w:rFonts w:ascii="PMingLiU" w:eastAsia="PMingLiU" w:hAnsi="PMingLiU"/>
          <w:sz w:val="22"/>
          <w:szCs w:val="22"/>
        </w:rPr>
        <w:t xml:space="preserve"> </w:t>
      </w:r>
    </w:p>
    <w:p w14:paraId="6021BF7D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09BC12B4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864B36">
        <w:rPr>
          <w:rFonts w:ascii="PMingLiU" w:eastAsia="PMingLiU" w:hAnsi="PMingLiU" w:hint="eastAsia"/>
          <w:sz w:val="22"/>
          <w:szCs w:val="22"/>
          <w:highlight w:val="yellow"/>
        </w:rPr>
        <w:t>參考：許雪姬，《清代臺灣的綠營》。臺北：中央研究院近代史研究所，1987。</w:t>
      </w:r>
    </w:p>
    <w:p w14:paraId="0F263346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4789BA87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864B36">
        <w:rPr>
          <w:rFonts w:ascii="PMingLiU" w:eastAsia="PMingLiU" w:hAnsi="PMingLiU" w:hint="eastAsia"/>
          <w:sz w:val="22"/>
          <w:szCs w:val="22"/>
        </w:rPr>
        <w:t>到林爽文起事前，具體人物是臺灣道永福。許毓良的</w:t>
      </w:r>
      <w:r w:rsidRPr="00864B36">
        <w:rPr>
          <w:rFonts w:ascii="PMingLiU" w:eastAsia="PMingLiU" w:hAnsi="PMingLiU"/>
          <w:sz w:val="22"/>
          <w:szCs w:val="22"/>
        </w:rPr>
        <w:t xml:space="preserve"> notes </w:t>
      </w:r>
      <w:r w:rsidRPr="00864B36">
        <w:rPr>
          <w:rFonts w:ascii="PMingLiU" w:eastAsia="PMingLiU" w:hAnsi="PMingLiU" w:hint="eastAsia"/>
          <w:sz w:val="22"/>
          <w:szCs w:val="22"/>
        </w:rPr>
        <w:t>提到，乾隆五十一年十一月十六日，在臺灣道永福堅持下，臺灣鎮總兵官柴大紀才調派鎮標中營遊擊耿世文帶兵開赴彰化，並傳檄北路協副將赫生額前往大里杙緝捕；永福又委臺灣知府孫景燧赴彰化佐理。這說明永福在文官體系中具有督促軍事與調度地方官的角色。</w:t>
      </w:r>
      <w:r w:rsidRPr="00864B36">
        <w:rPr>
          <w:rFonts w:ascii="PMingLiU" w:eastAsia="PMingLiU" w:hAnsi="PMingLiU"/>
          <w:sz w:val="22"/>
          <w:szCs w:val="22"/>
        </w:rPr>
        <w:t xml:space="preserve"> </w:t>
      </w:r>
    </w:p>
    <w:p w14:paraId="09C5AC6E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7F74B433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864B36">
        <w:rPr>
          <w:rFonts w:ascii="PMingLiU" w:eastAsia="PMingLiU" w:hAnsi="PMingLiU" w:hint="eastAsia"/>
          <w:sz w:val="22"/>
          <w:szCs w:val="22"/>
          <w:highlight w:val="yellow"/>
        </w:rPr>
        <w:t>參考：許毓良，《清代臺灣軍事與社會》。北京：九州出版社，2008年11月。</w:t>
      </w:r>
    </w:p>
    <w:p w14:paraId="3B320A3B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09BF3D19" w14:textId="77777777" w:rsidR="00567599" w:rsidRPr="00864B36" w:rsidRDefault="00567599" w:rsidP="00567599">
      <w:pPr>
        <w:spacing w:after="0" w:line="240" w:lineRule="auto"/>
        <w:ind w:left="360"/>
        <w:rPr>
          <w:rFonts w:ascii="PMingLiU" w:eastAsia="PMingLiU" w:hAnsi="PMingLiU"/>
          <w:sz w:val="22"/>
          <w:szCs w:val="22"/>
        </w:rPr>
      </w:pPr>
      <w:r w:rsidRPr="00864B36">
        <w:rPr>
          <w:rFonts w:ascii="PMingLiU" w:eastAsia="PMingLiU" w:hAnsi="PMingLiU" w:hint="eastAsia"/>
          <w:sz w:val="22"/>
          <w:szCs w:val="22"/>
        </w:rPr>
        <w:t>二、府級行政長官：臺灣知府</w:t>
      </w:r>
    </w:p>
    <w:p w14:paraId="08979C63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3B572D33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864B36">
        <w:rPr>
          <w:rFonts w:ascii="PMingLiU" w:eastAsia="PMingLiU" w:hAnsi="PMingLiU" w:hint="eastAsia"/>
          <w:sz w:val="22"/>
          <w:szCs w:val="22"/>
        </w:rPr>
        <w:t>若你問的是「臺灣府的行政長官」，答案是臺灣知府。臺灣府下轄臺灣縣、鳳山縣、諸羅縣、彰化縣、淡水廳等地方單位，而知府負責府級行政。林爽文起事前的臺灣知府是孫景燧。在官府緝捕林爽文前，永福委派臺灣知府孫景燧赴彰化佐理；後來林爽文攻陷彰化縣城時，孫景燧被殺。</w:t>
      </w:r>
      <w:r w:rsidRPr="00864B36">
        <w:rPr>
          <w:rFonts w:ascii="PMingLiU" w:eastAsia="PMingLiU" w:hAnsi="PMingLiU"/>
          <w:sz w:val="22"/>
          <w:szCs w:val="22"/>
        </w:rPr>
        <w:t xml:space="preserve"> </w:t>
      </w:r>
    </w:p>
    <w:p w14:paraId="1A6DCFF3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01CF6FA1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864B36">
        <w:rPr>
          <w:rFonts w:ascii="PMingLiU" w:eastAsia="PMingLiU" w:hAnsi="PMingLiU" w:hint="eastAsia"/>
          <w:sz w:val="22"/>
          <w:szCs w:val="22"/>
          <w:highlight w:val="yellow"/>
        </w:rPr>
        <w:t>參考：許毓良，《清代臺灣軍事與社會》。北京：九州出版社，2008年11月。</w:t>
      </w:r>
    </w:p>
    <w:p w14:paraId="0DFA1882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4E8ADC5D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864B36">
        <w:rPr>
          <w:rFonts w:ascii="PMingLiU" w:eastAsia="PMingLiU" w:hAnsi="PMingLiU" w:hint="eastAsia"/>
          <w:sz w:val="22"/>
          <w:szCs w:val="22"/>
        </w:rPr>
        <w:t>如果再往下看，縣一級最高文職官員則是知縣。張勝彥《清代臺灣廳縣制度之研究》指出，知縣是一縣最高文職官員，負責司法裁判、租稅徵收、科舉試務、禮教祀典、公共工程、地方治安、社會福祉等事項。這可以說明：彰化知縣俞峻是彰化縣地方行政首長，但不是全臺最高官員。</w:t>
      </w:r>
      <w:r w:rsidRPr="00864B36">
        <w:rPr>
          <w:rFonts w:ascii="PMingLiU" w:eastAsia="PMingLiU" w:hAnsi="PMingLiU"/>
          <w:sz w:val="22"/>
          <w:szCs w:val="22"/>
        </w:rPr>
        <w:t xml:space="preserve"> </w:t>
      </w:r>
    </w:p>
    <w:p w14:paraId="4034C1EA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42FFF796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864B36">
        <w:rPr>
          <w:rFonts w:ascii="PMingLiU" w:eastAsia="PMingLiU" w:hAnsi="PMingLiU" w:hint="eastAsia"/>
          <w:sz w:val="22"/>
          <w:szCs w:val="22"/>
          <w:highlight w:val="yellow"/>
        </w:rPr>
        <w:t>參考：張勝彥，《清代臺灣廳縣制度之研究》。臺北：華世出版社，1993年3月。</w:t>
      </w:r>
    </w:p>
    <w:p w14:paraId="70CA1D91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14DD28FB" w14:textId="77777777" w:rsidR="00567599" w:rsidRPr="00864B36" w:rsidRDefault="00567599" w:rsidP="00567599">
      <w:pPr>
        <w:spacing w:after="0" w:line="240" w:lineRule="auto"/>
        <w:ind w:left="360"/>
        <w:rPr>
          <w:rFonts w:ascii="PMingLiU" w:eastAsia="PMingLiU" w:hAnsi="PMingLiU"/>
          <w:sz w:val="22"/>
          <w:szCs w:val="22"/>
        </w:rPr>
      </w:pPr>
      <w:r w:rsidRPr="00864B36">
        <w:rPr>
          <w:rFonts w:ascii="PMingLiU" w:eastAsia="PMingLiU" w:hAnsi="PMingLiU" w:hint="eastAsia"/>
          <w:sz w:val="22"/>
          <w:szCs w:val="22"/>
        </w:rPr>
        <w:t>三、全臺最高武官：臺灣鎮總兵官</w:t>
      </w:r>
    </w:p>
    <w:p w14:paraId="0379EED8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77CC76C8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864B36">
        <w:rPr>
          <w:rFonts w:ascii="PMingLiU" w:eastAsia="PMingLiU" w:hAnsi="PMingLiU" w:hint="eastAsia"/>
          <w:sz w:val="22"/>
          <w:szCs w:val="22"/>
        </w:rPr>
        <w:t>若問軍事上的最高官員，答案是臺灣鎮總兵官。許雪姬的</w:t>
      </w:r>
      <w:r w:rsidRPr="00864B36">
        <w:rPr>
          <w:rFonts w:ascii="PMingLiU" w:eastAsia="PMingLiU" w:hAnsi="PMingLiU"/>
          <w:sz w:val="22"/>
          <w:szCs w:val="22"/>
        </w:rPr>
        <w:t xml:space="preserve"> notes </w:t>
      </w:r>
      <w:r w:rsidRPr="00864B36">
        <w:rPr>
          <w:rFonts w:ascii="PMingLiU" w:eastAsia="PMingLiU" w:hAnsi="PMingLiU" w:hint="eastAsia"/>
          <w:sz w:val="22"/>
          <w:szCs w:val="22"/>
        </w:rPr>
        <w:t>明確說，中篇重點是臺灣最高武官——總兵官；臺灣遠在海外、亂事頻仍，不得不授總兵較大權力，但又怕總兵據地坐大，所以對總兵有層層監視。她甚至指出，臺灣鎮總兵在某些時期實為全臺權力中心，清代治臺有「以武抑文」的特徵。</w:t>
      </w:r>
      <w:r w:rsidRPr="00864B36">
        <w:rPr>
          <w:rFonts w:ascii="PMingLiU" w:eastAsia="PMingLiU" w:hAnsi="PMingLiU"/>
          <w:sz w:val="22"/>
          <w:szCs w:val="22"/>
        </w:rPr>
        <w:t xml:space="preserve"> </w:t>
      </w:r>
    </w:p>
    <w:p w14:paraId="79F5DE33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685A3AFE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864B36">
        <w:rPr>
          <w:rFonts w:ascii="PMingLiU" w:eastAsia="PMingLiU" w:hAnsi="PMingLiU" w:hint="eastAsia"/>
          <w:sz w:val="22"/>
          <w:szCs w:val="22"/>
          <w:highlight w:val="yellow"/>
        </w:rPr>
        <w:t>參考：許雪姬，《清代臺灣的綠營》。臺北：中央研究院近代史研究所，1987。</w:t>
      </w:r>
    </w:p>
    <w:p w14:paraId="689614D6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60AA4B87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864B36">
        <w:rPr>
          <w:rFonts w:ascii="PMingLiU" w:eastAsia="PMingLiU" w:hAnsi="PMingLiU" w:hint="eastAsia"/>
          <w:sz w:val="22"/>
          <w:szCs w:val="22"/>
        </w:rPr>
        <w:t>林爽文起事前的臺灣鎮總兵官是柴大紀。許毓良的</w:t>
      </w:r>
      <w:r w:rsidRPr="00864B36">
        <w:rPr>
          <w:rFonts w:ascii="PMingLiU" w:eastAsia="PMingLiU" w:hAnsi="PMingLiU"/>
          <w:sz w:val="22"/>
          <w:szCs w:val="22"/>
        </w:rPr>
        <w:t xml:space="preserve"> notes </w:t>
      </w:r>
      <w:r w:rsidRPr="00864B36">
        <w:rPr>
          <w:rFonts w:ascii="PMingLiU" w:eastAsia="PMingLiU" w:hAnsi="PMingLiU" w:hint="eastAsia"/>
          <w:sz w:val="22"/>
          <w:szCs w:val="22"/>
        </w:rPr>
        <w:t>記載，乾隆五十一年十一月六日，柴大紀巡閱北路，七日抵彰化縣城；後來在臺灣道永福堅持下，才調派鎮標中營遊擊耿世文統帶三百名兵丁開赴彰化。這說明柴大紀是當時臺灣本地最高軍事長官，也是林爽文事件初期最重要的前線武官。</w:t>
      </w:r>
      <w:r w:rsidRPr="00864B36">
        <w:rPr>
          <w:rFonts w:ascii="PMingLiU" w:eastAsia="PMingLiU" w:hAnsi="PMingLiU"/>
          <w:sz w:val="22"/>
          <w:szCs w:val="22"/>
        </w:rPr>
        <w:t xml:space="preserve"> </w:t>
      </w:r>
    </w:p>
    <w:p w14:paraId="00206891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76583314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864B36">
        <w:rPr>
          <w:rFonts w:ascii="PMingLiU" w:eastAsia="PMingLiU" w:hAnsi="PMingLiU" w:hint="eastAsia"/>
          <w:sz w:val="22"/>
          <w:szCs w:val="22"/>
          <w:highlight w:val="yellow"/>
        </w:rPr>
        <w:t>參考：許毓良，《清代臺灣軍事與社會》。北京：九州出版社，2008年11月。</w:t>
      </w:r>
    </w:p>
    <w:p w14:paraId="30AC6D25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61E3F54A" w14:textId="77777777" w:rsidR="00567599" w:rsidRPr="00864B36" w:rsidRDefault="00567599" w:rsidP="00567599">
      <w:pPr>
        <w:rPr>
          <w:rFonts w:ascii="PMingLiU" w:eastAsia="PMingLiU" w:hAnsi="PMingLiU"/>
          <w:sz w:val="22"/>
          <w:szCs w:val="22"/>
        </w:rPr>
      </w:pPr>
      <w:r w:rsidRPr="00864B36">
        <w:rPr>
          <w:rFonts w:ascii="PMingLiU" w:eastAsia="PMingLiU" w:hAnsi="PMingLiU"/>
          <w:sz w:val="22"/>
          <w:szCs w:val="22"/>
        </w:rPr>
        <w:br w:type="page"/>
      </w:r>
    </w:p>
    <w:p w14:paraId="0145F15A" w14:textId="77777777" w:rsidR="00567599" w:rsidRPr="00864B36" w:rsidRDefault="00567599" w:rsidP="00567599">
      <w:pPr>
        <w:pStyle w:val="Heading1"/>
        <w:jc w:val="center"/>
      </w:pPr>
      <w:bookmarkStart w:id="6" w:name="_Toc228208773"/>
      <w:bookmarkStart w:id="7" w:name="_Toc228208833"/>
      <w:r w:rsidRPr="00864B36">
        <w:rPr>
          <w:rFonts w:hint="eastAsia"/>
        </w:rPr>
        <w:lastRenderedPageBreak/>
        <w:t>林爽文起事前，清代臺灣的軍事制度</w:t>
      </w:r>
      <w:bookmarkEnd w:id="6"/>
      <w:bookmarkEnd w:id="7"/>
    </w:p>
    <w:p w14:paraId="7348B886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47DBDAAD" w14:textId="77777777" w:rsidR="00567599" w:rsidRPr="00864B36" w:rsidRDefault="00567599" w:rsidP="00567599">
      <w:pPr>
        <w:spacing w:after="0" w:line="240" w:lineRule="auto"/>
        <w:ind w:left="360"/>
        <w:rPr>
          <w:rFonts w:ascii="PMingLiU" w:eastAsia="PMingLiU" w:hAnsi="PMingLiU"/>
          <w:sz w:val="22"/>
          <w:szCs w:val="22"/>
        </w:rPr>
      </w:pPr>
      <w:r w:rsidRPr="00864B36">
        <w:rPr>
          <w:rFonts w:ascii="PMingLiU" w:eastAsia="PMingLiU" w:hAnsi="PMingLiU" w:hint="eastAsia"/>
          <w:sz w:val="22"/>
          <w:szCs w:val="22"/>
        </w:rPr>
        <w:t>總論：清代臺灣軍事制度以「臺灣鎮總兵—協營—汛塘—班兵」為核心</w:t>
      </w:r>
    </w:p>
    <w:p w14:paraId="5860F6BD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1AE68CF9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864B36">
        <w:rPr>
          <w:rFonts w:ascii="PMingLiU" w:eastAsia="PMingLiU" w:hAnsi="PMingLiU" w:hint="eastAsia"/>
          <w:sz w:val="22"/>
          <w:szCs w:val="22"/>
        </w:rPr>
        <w:t>林爽文起事前，清代臺灣的軍事制度主要屬於綠營體系。臺灣不是獨立軍區，而是福建省軍事體系的一部分；在臺最高武官是臺灣鎮總兵官，下設南北二路協營與各營汛塘，兵丁多由福建輪調來臺，這就是所謂班兵制度。這套制度的設計目的，是用分散駐防方式維持地方秩序、監控海防與防範民變；但它也造成兵力分散、調動困難、兵丁不熟地方、駐軍腐敗與戰時可動用兵力有限等問題。林爽文事件爆發後，這些問題全部暴露出來。</w:t>
      </w:r>
      <w:r w:rsidRPr="00864B36">
        <w:rPr>
          <w:rFonts w:ascii="PMingLiU" w:eastAsia="PMingLiU" w:hAnsi="PMingLiU"/>
          <w:sz w:val="22"/>
          <w:szCs w:val="22"/>
        </w:rPr>
        <w:t xml:space="preserve">   </w:t>
      </w:r>
    </w:p>
    <w:p w14:paraId="19BAFDE8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35AB71C4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864B36">
        <w:rPr>
          <w:rFonts w:ascii="PMingLiU" w:eastAsia="PMingLiU" w:hAnsi="PMingLiU" w:hint="eastAsia"/>
          <w:sz w:val="22"/>
          <w:szCs w:val="22"/>
          <w:highlight w:val="yellow"/>
        </w:rPr>
        <w:t>參考：賴福順，《乾隆重要戰爭之軍需硏究》。臺北：國立故宮博物院，</w:t>
      </w:r>
      <w:r w:rsidRPr="00864B36">
        <w:rPr>
          <w:rFonts w:ascii="PMingLiU" w:eastAsia="PMingLiU" w:hAnsi="PMingLiU"/>
          <w:sz w:val="22"/>
          <w:szCs w:val="22"/>
          <w:highlight w:val="yellow"/>
        </w:rPr>
        <w:t>1984</w:t>
      </w:r>
      <w:r w:rsidRPr="00864B36">
        <w:rPr>
          <w:rFonts w:ascii="PMingLiU" w:eastAsia="PMingLiU" w:hAnsi="PMingLiU" w:hint="eastAsia"/>
          <w:sz w:val="22"/>
          <w:szCs w:val="22"/>
          <w:highlight w:val="yellow"/>
        </w:rPr>
        <w:t>。</w:t>
      </w:r>
    </w:p>
    <w:p w14:paraId="0D3846CB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864B36">
        <w:rPr>
          <w:rFonts w:ascii="PMingLiU" w:eastAsia="PMingLiU" w:hAnsi="PMingLiU" w:hint="eastAsia"/>
          <w:sz w:val="22"/>
          <w:szCs w:val="22"/>
          <w:highlight w:val="yellow"/>
        </w:rPr>
        <w:t>參考：許雪姬，《清代臺灣的綠營》。臺北：中央研究院近代史研究所，1987。</w:t>
      </w:r>
    </w:p>
    <w:p w14:paraId="4300A460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0AAECD6C" w14:textId="77777777" w:rsidR="00567599" w:rsidRPr="00864B36" w:rsidRDefault="00567599" w:rsidP="00567599">
      <w:pPr>
        <w:spacing w:after="0" w:line="240" w:lineRule="auto"/>
        <w:ind w:left="360"/>
        <w:rPr>
          <w:rFonts w:ascii="PMingLiU" w:eastAsia="PMingLiU" w:hAnsi="PMingLiU"/>
          <w:sz w:val="22"/>
          <w:szCs w:val="22"/>
        </w:rPr>
      </w:pPr>
      <w:r w:rsidRPr="00864B36">
        <w:rPr>
          <w:rFonts w:ascii="PMingLiU" w:eastAsia="PMingLiU" w:hAnsi="PMingLiU" w:hint="eastAsia"/>
          <w:sz w:val="22"/>
          <w:szCs w:val="22"/>
        </w:rPr>
        <w:t>一、臺灣最高武官是臺灣鎮總兵官</w:t>
      </w:r>
    </w:p>
    <w:p w14:paraId="6F0B53D7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209C545F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864B36">
        <w:rPr>
          <w:rFonts w:ascii="PMingLiU" w:eastAsia="PMingLiU" w:hAnsi="PMingLiU" w:hint="eastAsia"/>
          <w:sz w:val="22"/>
          <w:szCs w:val="22"/>
        </w:rPr>
        <w:t>清代臺灣軍事制度的最高在地武官，是臺灣鎮總兵官。賴福順指出，臺灣設府縣後，武事方面設臺灣鎮總兵官，並分置南北二路協營將弁，以千把總分防塘汛。這表示臺灣軍事制度並不是由各縣自行管理，而是以臺灣鎮為核心，由總兵統轄全臺綠營防務。</w:t>
      </w:r>
      <w:r w:rsidRPr="00864B36">
        <w:rPr>
          <w:rFonts w:ascii="PMingLiU" w:eastAsia="PMingLiU" w:hAnsi="PMingLiU"/>
          <w:sz w:val="22"/>
          <w:szCs w:val="22"/>
        </w:rPr>
        <w:t xml:space="preserve"> </w:t>
      </w:r>
    </w:p>
    <w:p w14:paraId="285D7E54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25C430BD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864B36">
        <w:rPr>
          <w:rFonts w:ascii="PMingLiU" w:eastAsia="PMingLiU" w:hAnsi="PMingLiU" w:hint="eastAsia"/>
          <w:sz w:val="22"/>
          <w:szCs w:val="22"/>
          <w:highlight w:val="yellow"/>
        </w:rPr>
        <w:t>參考：賴福順，《乾隆重要戰爭之軍需硏究》。臺北：國立故宮博物院，</w:t>
      </w:r>
      <w:r w:rsidRPr="00864B36">
        <w:rPr>
          <w:rFonts w:ascii="PMingLiU" w:eastAsia="PMingLiU" w:hAnsi="PMingLiU"/>
          <w:sz w:val="22"/>
          <w:szCs w:val="22"/>
          <w:highlight w:val="yellow"/>
        </w:rPr>
        <w:t>1984</w:t>
      </w:r>
      <w:r w:rsidRPr="00864B36">
        <w:rPr>
          <w:rFonts w:ascii="PMingLiU" w:eastAsia="PMingLiU" w:hAnsi="PMingLiU" w:hint="eastAsia"/>
          <w:sz w:val="22"/>
          <w:szCs w:val="22"/>
          <w:highlight w:val="yellow"/>
        </w:rPr>
        <w:t>。</w:t>
      </w:r>
    </w:p>
    <w:p w14:paraId="728E7C6D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5F486386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864B36">
        <w:rPr>
          <w:rFonts w:ascii="PMingLiU" w:eastAsia="PMingLiU" w:hAnsi="PMingLiU" w:hint="eastAsia"/>
          <w:sz w:val="22"/>
          <w:szCs w:val="22"/>
        </w:rPr>
        <w:t>許雪姬也指出，臺灣總兵是臺灣最高武官。由於臺灣遠在海外、亂事頻仍，清廷不得不給臺灣總兵較大權力；但又擔心總兵在海外坐大，所以設下層層監視。這說明臺灣總兵一方面是平時防務與戰時彈壓的核心，另一方面也受到文官與上級督撫體系制衡。</w:t>
      </w:r>
    </w:p>
    <w:p w14:paraId="771EE42B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77243350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864B36">
        <w:rPr>
          <w:rFonts w:ascii="PMingLiU" w:eastAsia="PMingLiU" w:hAnsi="PMingLiU" w:hint="eastAsia"/>
          <w:sz w:val="22"/>
          <w:szCs w:val="22"/>
          <w:highlight w:val="yellow"/>
        </w:rPr>
        <w:t>參考：許雪姬，《清代臺灣的綠營》。臺北：中央研究院近代史研究所，1987。</w:t>
      </w:r>
    </w:p>
    <w:p w14:paraId="42D18145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7A58FB9F" w14:textId="77777777" w:rsidR="00567599" w:rsidRPr="00864B36" w:rsidRDefault="00567599" w:rsidP="00567599">
      <w:pPr>
        <w:spacing w:after="0" w:line="240" w:lineRule="auto"/>
        <w:ind w:left="360"/>
        <w:rPr>
          <w:rFonts w:ascii="PMingLiU" w:eastAsia="PMingLiU" w:hAnsi="PMingLiU"/>
          <w:sz w:val="22"/>
          <w:szCs w:val="22"/>
        </w:rPr>
      </w:pPr>
      <w:r w:rsidRPr="00864B36">
        <w:rPr>
          <w:rFonts w:ascii="PMingLiU" w:eastAsia="PMingLiU" w:hAnsi="PMingLiU" w:hint="eastAsia"/>
          <w:sz w:val="22"/>
          <w:szCs w:val="22"/>
        </w:rPr>
        <w:t>二、起事前的臺灣鎮總兵是柴大紀</w:t>
      </w:r>
    </w:p>
    <w:p w14:paraId="42B9EE82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71FFD2B5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864B36">
        <w:rPr>
          <w:rFonts w:ascii="PMingLiU" w:eastAsia="PMingLiU" w:hAnsi="PMingLiU" w:hint="eastAsia"/>
          <w:sz w:val="22"/>
          <w:szCs w:val="22"/>
        </w:rPr>
        <w:t>林爽文起事前，臺灣鎮總兵官是柴大紀。許毓良的 notes 記載，乾隆五十一年十一月六日，柴大紀巡閱北路，七日抵彰化縣城；後來在臺灣道永福堅持下，才調派鎮標中營遊擊耿世文帶兵三百名前往彰化，並傳檄北路協副將赫生額赴大里杙緝捕。這說明柴大紀在事件爆發前已是全臺最高軍事長官，也是起事初期清軍反應的關鍵人物。</w:t>
      </w:r>
    </w:p>
    <w:p w14:paraId="7E434FA7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7753BB11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864B36">
        <w:rPr>
          <w:rFonts w:ascii="PMingLiU" w:eastAsia="PMingLiU" w:hAnsi="PMingLiU" w:hint="eastAsia"/>
          <w:sz w:val="22"/>
          <w:szCs w:val="22"/>
          <w:highlight w:val="yellow"/>
        </w:rPr>
        <w:t>參考：許毓良，《清代臺灣軍事與社會》。北京：九州出版社，2008年11月。</w:t>
      </w:r>
    </w:p>
    <w:p w14:paraId="623C6FB0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43959E29" w14:textId="77777777" w:rsidR="00567599" w:rsidRPr="00864B36" w:rsidRDefault="00567599" w:rsidP="00567599">
      <w:pPr>
        <w:spacing w:after="0" w:line="240" w:lineRule="auto"/>
        <w:ind w:left="360"/>
        <w:rPr>
          <w:rFonts w:ascii="PMingLiU" w:eastAsia="PMingLiU" w:hAnsi="PMingLiU"/>
          <w:sz w:val="22"/>
          <w:szCs w:val="22"/>
        </w:rPr>
      </w:pPr>
      <w:r w:rsidRPr="00864B36">
        <w:rPr>
          <w:rFonts w:ascii="PMingLiU" w:eastAsia="PMingLiU" w:hAnsi="PMingLiU" w:hint="eastAsia"/>
          <w:sz w:val="22"/>
          <w:szCs w:val="22"/>
        </w:rPr>
        <w:t>三、臺灣軍事空間分為南北二路與各營汛塘</w:t>
      </w:r>
    </w:p>
    <w:p w14:paraId="5DE161F6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2A77F6C1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864B36">
        <w:rPr>
          <w:rFonts w:ascii="PMingLiU" w:eastAsia="PMingLiU" w:hAnsi="PMingLiU" w:hint="eastAsia"/>
          <w:sz w:val="22"/>
          <w:szCs w:val="22"/>
        </w:rPr>
        <w:t>臺灣鎮以下，清廷分設南北二路協營，再以千總、把總等軍官分防各地塘汛。這種制度是一種分散駐防制度：不是把大軍集中在府城，而是把兵力分布在府城、諸羅、彰化、鳳山、淡水、鹿港、海口、汛塘等不同據點。它的好處是可以平時看守地方、巡防道路、保護港口和維持治安；但缺點是戰時兵力難以集中。</w:t>
      </w:r>
      <w:r w:rsidRPr="00864B36">
        <w:rPr>
          <w:rFonts w:ascii="PMingLiU" w:eastAsia="PMingLiU" w:hAnsi="PMingLiU"/>
          <w:sz w:val="22"/>
          <w:szCs w:val="22"/>
        </w:rPr>
        <w:t xml:space="preserve"> </w:t>
      </w:r>
    </w:p>
    <w:p w14:paraId="57422287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1F337BC6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864B36">
        <w:rPr>
          <w:rFonts w:ascii="PMingLiU" w:eastAsia="PMingLiU" w:hAnsi="PMingLiU" w:hint="eastAsia"/>
          <w:sz w:val="22"/>
          <w:szCs w:val="22"/>
          <w:highlight w:val="yellow"/>
        </w:rPr>
        <w:t>參考：賴福順，《乾隆重要戰爭之軍需硏究》。臺北：國立故宮博物院，</w:t>
      </w:r>
      <w:r w:rsidRPr="00864B36">
        <w:rPr>
          <w:rFonts w:ascii="PMingLiU" w:eastAsia="PMingLiU" w:hAnsi="PMingLiU"/>
          <w:sz w:val="22"/>
          <w:szCs w:val="22"/>
          <w:highlight w:val="yellow"/>
        </w:rPr>
        <w:t>1984</w:t>
      </w:r>
      <w:r w:rsidRPr="00864B36">
        <w:rPr>
          <w:rFonts w:ascii="PMingLiU" w:eastAsia="PMingLiU" w:hAnsi="PMingLiU" w:hint="eastAsia"/>
          <w:sz w:val="22"/>
          <w:szCs w:val="22"/>
          <w:highlight w:val="yellow"/>
        </w:rPr>
        <w:t>。</w:t>
      </w:r>
    </w:p>
    <w:p w14:paraId="15200F88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0A009B84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864B36">
        <w:rPr>
          <w:rFonts w:ascii="PMingLiU" w:eastAsia="PMingLiU" w:hAnsi="PMingLiU" w:hint="eastAsia"/>
          <w:sz w:val="22"/>
          <w:szCs w:val="22"/>
        </w:rPr>
        <w:t>許雪姬的研究更直接指出，臺灣駐軍中有很高比例是汛兵，臺鎮真正可動用的兵力有限。亂事擴大後，清廷又不敢把各地塘汛兵全部抽走，因為臺灣動亂常有南北呼應的特徵；若抽空某地防兵，其他地方可能趁機響應。這正解釋了林爽文事件初期清軍為甚麼看似有兵，實際卻難以集中。</w:t>
      </w:r>
      <w:r w:rsidRPr="00864B36">
        <w:rPr>
          <w:rFonts w:ascii="PMingLiU" w:eastAsia="PMingLiU" w:hAnsi="PMingLiU"/>
          <w:sz w:val="22"/>
          <w:szCs w:val="22"/>
        </w:rPr>
        <w:t xml:space="preserve"> </w:t>
      </w:r>
    </w:p>
    <w:p w14:paraId="545AD8E4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3C3F76AC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864B36">
        <w:rPr>
          <w:rFonts w:ascii="PMingLiU" w:eastAsia="PMingLiU" w:hAnsi="PMingLiU" w:hint="eastAsia"/>
          <w:sz w:val="22"/>
          <w:szCs w:val="22"/>
          <w:highlight w:val="yellow"/>
        </w:rPr>
        <w:t>參考：許雪姬，《清代臺灣的綠營》。臺北：中央研究院近代史研究所，1987。</w:t>
      </w:r>
    </w:p>
    <w:p w14:paraId="69B88823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674B96E1" w14:textId="77777777" w:rsidR="00567599" w:rsidRPr="00864B36" w:rsidRDefault="00567599" w:rsidP="00567599">
      <w:pPr>
        <w:spacing w:after="0" w:line="240" w:lineRule="auto"/>
        <w:ind w:left="360"/>
        <w:rPr>
          <w:rFonts w:ascii="PMingLiU" w:eastAsia="PMingLiU" w:hAnsi="PMingLiU"/>
          <w:sz w:val="22"/>
          <w:szCs w:val="22"/>
        </w:rPr>
      </w:pPr>
      <w:r w:rsidRPr="00864B36">
        <w:rPr>
          <w:rFonts w:ascii="PMingLiU" w:eastAsia="PMingLiU" w:hAnsi="PMingLiU" w:hint="eastAsia"/>
          <w:sz w:val="22"/>
          <w:szCs w:val="22"/>
        </w:rPr>
        <w:t>四、班兵制度：臺灣兵丁多由福建輪調</w:t>
      </w:r>
    </w:p>
    <w:p w14:paraId="59E832B8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3BEE95C9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864B36">
        <w:rPr>
          <w:rFonts w:ascii="PMingLiU" w:eastAsia="PMingLiU" w:hAnsi="PMingLiU" w:hint="eastAsia"/>
          <w:sz w:val="22"/>
          <w:szCs w:val="22"/>
        </w:rPr>
        <w:t>林爽文起事前，臺灣綠營的重要特徵是班兵制度。簡單說，臺灣駐軍不是完全由本地人長期固定服役，而是多由福建各營兵丁輪流調臺駐防。這樣設計的目的，是避免臺灣本地武力坐大，也希望用內地兵控制海外邊區。但實際上，班兵制度有幾個問題：兵丁來臺時間有限，不一定熟悉地方；換班過程牽涉海上交通；兵丁可能水土不服、士氣不高；福建本地兵丁若與會黨或地方網絡有關，也可能把秘密結社問題帶入臺灣。</w:t>
      </w:r>
      <w:r w:rsidRPr="00864B36">
        <w:rPr>
          <w:rFonts w:ascii="PMingLiU" w:eastAsia="PMingLiU" w:hAnsi="PMingLiU"/>
          <w:sz w:val="22"/>
          <w:szCs w:val="22"/>
        </w:rPr>
        <w:t xml:space="preserve"> </w:t>
      </w:r>
    </w:p>
    <w:p w14:paraId="4AF50ACC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35AC1897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864B36">
        <w:rPr>
          <w:rFonts w:ascii="PMingLiU" w:eastAsia="PMingLiU" w:hAnsi="PMingLiU" w:hint="eastAsia"/>
          <w:sz w:val="22"/>
          <w:szCs w:val="22"/>
          <w:highlight w:val="yellow"/>
        </w:rPr>
        <w:t>參考：許毓良，《清代臺灣軍事與社會》。北京：九州出版社，2008年11月。</w:t>
      </w:r>
    </w:p>
    <w:p w14:paraId="26382296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5293A424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864B36">
        <w:rPr>
          <w:rFonts w:ascii="PMingLiU" w:eastAsia="PMingLiU" w:hAnsi="PMingLiU" w:hint="eastAsia"/>
          <w:sz w:val="22"/>
          <w:szCs w:val="22"/>
        </w:rPr>
        <w:t>許毓良的</w:t>
      </w:r>
      <w:r w:rsidRPr="00864B36">
        <w:rPr>
          <w:rFonts w:ascii="PMingLiU" w:eastAsia="PMingLiU" w:hAnsi="PMingLiU"/>
          <w:sz w:val="22"/>
          <w:szCs w:val="22"/>
        </w:rPr>
        <w:t xml:space="preserve"> notes </w:t>
      </w:r>
      <w:r w:rsidRPr="00864B36">
        <w:rPr>
          <w:rFonts w:ascii="PMingLiU" w:eastAsia="PMingLiU" w:hAnsi="PMingLiU" w:hint="eastAsia"/>
          <w:sz w:val="22"/>
          <w:szCs w:val="22"/>
        </w:rPr>
        <w:t>特別提到，福建綠營可能被會黨滲透，加入會黨的兵丁也可能透過班兵制度被調往臺灣。乾隆年間，清廷已注意到兵民結盟、小刀會等問題，要求嚴禁兵民結盟。這說明班兵制度本來是清廷控制臺灣的方法，但它也可能成為會黨網絡跨海流動的管道。</w:t>
      </w:r>
      <w:r w:rsidRPr="00864B36">
        <w:rPr>
          <w:rFonts w:ascii="PMingLiU" w:eastAsia="PMingLiU" w:hAnsi="PMingLiU"/>
          <w:sz w:val="22"/>
          <w:szCs w:val="22"/>
        </w:rPr>
        <w:t xml:space="preserve"> </w:t>
      </w:r>
    </w:p>
    <w:p w14:paraId="050CD625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587FED7B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864B36">
        <w:rPr>
          <w:rFonts w:ascii="PMingLiU" w:eastAsia="PMingLiU" w:hAnsi="PMingLiU" w:hint="eastAsia"/>
          <w:sz w:val="22"/>
          <w:szCs w:val="22"/>
          <w:highlight w:val="yellow"/>
        </w:rPr>
        <w:t>參考：許毓良，《清代臺灣軍事與社會》。北京：九州出版社，2008年11月。</w:t>
      </w:r>
    </w:p>
    <w:p w14:paraId="3EC66FAF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5DB76AE8" w14:textId="77777777" w:rsidR="00567599" w:rsidRPr="00864B36" w:rsidRDefault="00567599" w:rsidP="00567599">
      <w:pPr>
        <w:spacing w:after="0" w:line="240" w:lineRule="auto"/>
        <w:ind w:left="360"/>
        <w:rPr>
          <w:rFonts w:ascii="PMingLiU" w:eastAsia="PMingLiU" w:hAnsi="PMingLiU"/>
          <w:sz w:val="22"/>
          <w:szCs w:val="22"/>
        </w:rPr>
      </w:pPr>
      <w:r w:rsidRPr="00864B36">
        <w:rPr>
          <w:rFonts w:ascii="PMingLiU" w:eastAsia="PMingLiU" w:hAnsi="PMingLiU" w:hint="eastAsia"/>
          <w:sz w:val="22"/>
          <w:szCs w:val="22"/>
        </w:rPr>
        <w:t>五、海防與港口防務是臺灣軍事制度的重要部分</w:t>
      </w:r>
    </w:p>
    <w:p w14:paraId="608D3A6B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2507098B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864B36">
        <w:rPr>
          <w:rFonts w:ascii="PMingLiU" w:eastAsia="PMingLiU" w:hAnsi="PMingLiU" w:hint="eastAsia"/>
          <w:sz w:val="22"/>
          <w:szCs w:val="22"/>
        </w:rPr>
        <w:t>臺灣是海島，所以清代臺灣軍事制度不只是陸上駐軍，也包括海防、港口、渡海通道與臺澎互防。許毓良《清代臺灣的海防》指出，嘉慶以前，臺灣海防大抵仍是水、陸汛塘部署的概念；澎湖被視為臺灣門戶，鹿耳門則被視為臺灣咽喉。這意味著臺灣防務重點不只在城池，還在澎湖、鹿耳門、鹿港、海口等交通節點。</w:t>
      </w:r>
      <w:r w:rsidRPr="00864B36">
        <w:rPr>
          <w:rFonts w:ascii="PMingLiU" w:eastAsia="PMingLiU" w:hAnsi="PMingLiU"/>
          <w:sz w:val="22"/>
          <w:szCs w:val="22"/>
        </w:rPr>
        <w:t xml:space="preserve"> </w:t>
      </w:r>
    </w:p>
    <w:p w14:paraId="1A05D7D7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6D360B60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864B36">
        <w:rPr>
          <w:rFonts w:ascii="PMingLiU" w:eastAsia="PMingLiU" w:hAnsi="PMingLiU" w:hint="eastAsia"/>
          <w:sz w:val="22"/>
          <w:szCs w:val="22"/>
          <w:highlight w:val="yellow"/>
        </w:rPr>
        <w:t>參考：許毓良，《清代臺灣的海防》。北京：社會科學文獻出版社，2003年7月。</w:t>
      </w:r>
    </w:p>
    <w:p w14:paraId="4D5F4B86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5BE131DD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864B36">
        <w:rPr>
          <w:rFonts w:ascii="PMingLiU" w:eastAsia="PMingLiU" w:hAnsi="PMingLiU" w:hint="eastAsia"/>
          <w:sz w:val="22"/>
          <w:szCs w:val="22"/>
        </w:rPr>
        <w:t>這對林爽文事件非常重要。清軍調兵渡臺，要依靠福建沿海、澎湖、鹿耳門、鹿仔港等海上路線；府城、鹿港和淡水等地也不只是行政據點，更是軍事接應點。林爽文戰爭中，清軍多次守鹿耳門、鹿仔港、府城，就是因為這些地方關係到援兵與軍需能不能進入臺灣。</w:t>
      </w:r>
    </w:p>
    <w:p w14:paraId="6942D17C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436B78F5" w14:textId="77777777" w:rsidR="00567599" w:rsidRPr="00864B36" w:rsidRDefault="00567599" w:rsidP="00567599">
      <w:pPr>
        <w:spacing w:after="0" w:line="240" w:lineRule="auto"/>
        <w:ind w:left="360"/>
        <w:rPr>
          <w:rFonts w:ascii="PMingLiU" w:eastAsia="PMingLiU" w:hAnsi="PMingLiU"/>
          <w:sz w:val="22"/>
          <w:szCs w:val="22"/>
        </w:rPr>
      </w:pPr>
      <w:r w:rsidRPr="00864B36">
        <w:rPr>
          <w:rFonts w:ascii="PMingLiU" w:eastAsia="PMingLiU" w:hAnsi="PMingLiU" w:hint="eastAsia"/>
          <w:sz w:val="22"/>
          <w:szCs w:val="22"/>
        </w:rPr>
        <w:t>六、制度上有文武互相配合，但也容易互相牽制</w:t>
      </w:r>
    </w:p>
    <w:p w14:paraId="0D0C32F6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280BC6AF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864B36">
        <w:rPr>
          <w:rFonts w:ascii="PMingLiU" w:eastAsia="PMingLiU" w:hAnsi="PMingLiU" w:hint="eastAsia"/>
          <w:sz w:val="22"/>
          <w:szCs w:val="22"/>
        </w:rPr>
        <w:t>清代臺灣軍事制度不是完全由武官單獨控制。臺灣道、臺灣知府、知縣等文官也會參與地方治安、緝捕、軍事奏報與協調。許雪姬指出，臺灣兵備道作為全臺最高文官，必要用兵時可因兵備銜命軍隊彈壓地方，或親臨指揮軍隊。</w:t>
      </w:r>
    </w:p>
    <w:p w14:paraId="66D1EDB4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1E991332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864B36">
        <w:rPr>
          <w:rFonts w:ascii="PMingLiU" w:eastAsia="PMingLiU" w:hAnsi="PMingLiU" w:hint="eastAsia"/>
          <w:sz w:val="22"/>
          <w:szCs w:val="22"/>
          <w:highlight w:val="yellow"/>
        </w:rPr>
        <w:t>參考：許雪姬，《清代臺灣的綠營》。臺北：中央研究院近代史研究所，1987。</w:t>
      </w:r>
    </w:p>
    <w:p w14:paraId="718221DA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2859AD58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864B36">
        <w:rPr>
          <w:rFonts w:ascii="PMingLiU" w:eastAsia="PMingLiU" w:hAnsi="PMingLiU" w:hint="eastAsia"/>
          <w:sz w:val="22"/>
          <w:szCs w:val="22"/>
        </w:rPr>
        <w:t>林爽文起事初期，臺灣道永福堅持處理天地會問題，並促使柴大紀派兵前往彰化；這顯示文官在軍事行動中有實際影響。但這種文武配合也可能變成責任分散：文官主張嚴緝，武官執行緝捕，地方官處置不當，最後共同激化局勢。</w:t>
      </w:r>
    </w:p>
    <w:p w14:paraId="135BDA45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45D13F9D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864B36">
        <w:rPr>
          <w:rFonts w:ascii="PMingLiU" w:eastAsia="PMingLiU" w:hAnsi="PMingLiU" w:hint="eastAsia"/>
          <w:sz w:val="22"/>
          <w:szCs w:val="22"/>
          <w:highlight w:val="yellow"/>
        </w:rPr>
        <w:t>參考：許毓良，《清代臺灣軍事與社會》。北京：九州出版社，2008年11月。</w:t>
      </w:r>
    </w:p>
    <w:p w14:paraId="07824CDF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2CCBAA87" w14:textId="77777777" w:rsidR="00567599" w:rsidRPr="00864B36" w:rsidRDefault="00567599" w:rsidP="00567599">
      <w:pPr>
        <w:spacing w:after="0" w:line="240" w:lineRule="auto"/>
        <w:ind w:left="360"/>
        <w:rPr>
          <w:rFonts w:ascii="PMingLiU" w:eastAsia="PMingLiU" w:hAnsi="PMingLiU"/>
          <w:sz w:val="22"/>
          <w:szCs w:val="22"/>
        </w:rPr>
      </w:pPr>
      <w:r w:rsidRPr="00864B36">
        <w:rPr>
          <w:rFonts w:ascii="PMingLiU" w:eastAsia="PMingLiU" w:hAnsi="PMingLiU" w:hint="eastAsia"/>
          <w:sz w:val="22"/>
          <w:szCs w:val="22"/>
        </w:rPr>
        <w:t>七、兵丁素質與軍紀問題嚴重</w:t>
      </w:r>
    </w:p>
    <w:p w14:paraId="1C59DAA2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3E25274F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864B36">
        <w:rPr>
          <w:rFonts w:ascii="PMingLiU" w:eastAsia="PMingLiU" w:hAnsi="PMingLiU" w:hint="eastAsia"/>
          <w:sz w:val="22"/>
          <w:szCs w:val="22"/>
        </w:rPr>
        <w:t>起事前，臺灣綠營並非一支高度有效的戰鬥力量。李天鳴指出，乾隆年間臺灣駐軍雖有一定員額，但武備廢弛，兵丁操練很少；有些兵丁甚至出錢請人代班，自己在外營生、賭博，甚至包庇娼賭。這種「包差」與軍紀敗壞，削弱了清軍平日維持治安與戰時反應的能力。</w:t>
      </w:r>
      <w:r w:rsidRPr="00864B36">
        <w:rPr>
          <w:rFonts w:ascii="PMingLiU" w:eastAsia="PMingLiU" w:hAnsi="PMingLiU"/>
          <w:sz w:val="22"/>
          <w:szCs w:val="22"/>
        </w:rPr>
        <w:t xml:space="preserve"> </w:t>
      </w:r>
    </w:p>
    <w:p w14:paraId="3261CCDA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6CFCA826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864B36">
        <w:rPr>
          <w:rFonts w:ascii="PMingLiU" w:eastAsia="PMingLiU" w:hAnsi="PMingLiU" w:hint="eastAsia"/>
          <w:sz w:val="22"/>
          <w:szCs w:val="22"/>
          <w:highlight w:val="yellow"/>
        </w:rPr>
        <w:t>參考：李天鳴，〈林爽文事件中的諸羅戰役〉，《故宮學術季刊》，第十九卷第一期，2001年秋季，頁151–194。</w:t>
      </w:r>
    </w:p>
    <w:p w14:paraId="33CBBBA8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29EAEDA1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864B36">
        <w:rPr>
          <w:rFonts w:ascii="PMingLiU" w:eastAsia="PMingLiU" w:hAnsi="PMingLiU" w:hint="eastAsia"/>
          <w:sz w:val="22"/>
          <w:szCs w:val="22"/>
        </w:rPr>
        <w:t>這可以解釋為甚麼林爽文起事初期，官軍面對地方會黨與莊民聚眾時反應遲緩，甚至很快被攻破大墩營盤、彰化縣城、諸羅等地。問題不只是將領一時判斷錯誤，而是基層軍事制度本來就已經鬆弛。</w:t>
      </w:r>
    </w:p>
    <w:p w14:paraId="34AB0BE9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20F4BBFE" w14:textId="77777777" w:rsidR="00567599" w:rsidRPr="00864B36" w:rsidRDefault="00567599" w:rsidP="00567599">
      <w:pPr>
        <w:spacing w:after="0" w:line="240" w:lineRule="auto"/>
        <w:ind w:left="360"/>
        <w:rPr>
          <w:rFonts w:ascii="PMingLiU" w:eastAsia="PMingLiU" w:hAnsi="PMingLiU"/>
          <w:sz w:val="22"/>
          <w:szCs w:val="22"/>
        </w:rPr>
      </w:pPr>
      <w:r w:rsidRPr="00864B36">
        <w:rPr>
          <w:rFonts w:ascii="PMingLiU" w:eastAsia="PMingLiU" w:hAnsi="PMingLiU" w:hint="eastAsia"/>
          <w:sz w:val="22"/>
          <w:szCs w:val="22"/>
        </w:rPr>
        <w:t>八、這套制度在平時可以防守，但不適合應付全臺性戰爭</w:t>
      </w:r>
    </w:p>
    <w:p w14:paraId="67DCCAA6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1C57382B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864B36">
        <w:rPr>
          <w:rFonts w:ascii="PMingLiU" w:eastAsia="PMingLiU" w:hAnsi="PMingLiU" w:hint="eastAsia"/>
          <w:sz w:val="22"/>
          <w:szCs w:val="22"/>
        </w:rPr>
        <w:t>清代臺灣軍事制度的邏輯，是以分散汛塘與班兵輪調來維持平時秩序。這種制度適合處理小規模治安、海防巡守和地方緝捕，但不適合應付像林爽文事件這樣快速擴散的全臺性戰爭。林爽文起於彰化，莊大田在鳳山響應，諸羅、府城、鹿港、淡水都受到威脅；清軍不能把所有塘汛兵抽出集中進攻，因為一抽兵其他地方可能失守。於是臺灣本地兵力很快不足，只能向福建和其他省分求援。</w:t>
      </w:r>
      <w:r w:rsidRPr="00864B36">
        <w:rPr>
          <w:rFonts w:ascii="PMingLiU" w:eastAsia="PMingLiU" w:hAnsi="PMingLiU"/>
          <w:sz w:val="22"/>
          <w:szCs w:val="22"/>
        </w:rPr>
        <w:t xml:space="preserve"> </w:t>
      </w:r>
    </w:p>
    <w:p w14:paraId="591298BF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397AAA09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864B36">
        <w:rPr>
          <w:rFonts w:ascii="PMingLiU" w:eastAsia="PMingLiU" w:hAnsi="PMingLiU" w:hint="eastAsia"/>
          <w:sz w:val="22"/>
          <w:szCs w:val="22"/>
          <w:highlight w:val="yellow"/>
        </w:rPr>
        <w:t>參考：許雪姬，《清代臺灣的綠營》。臺北：中央研究院近代史研究所，1987。</w:t>
      </w:r>
    </w:p>
    <w:p w14:paraId="31D9DC29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0DDFCFEA" w14:textId="77777777" w:rsidR="00567599" w:rsidRPr="00864B36" w:rsidRDefault="00567599" w:rsidP="00567599">
      <w:pPr>
        <w:spacing w:after="0" w:line="240" w:lineRule="auto"/>
        <w:ind w:left="360"/>
        <w:rPr>
          <w:rFonts w:ascii="PMingLiU" w:eastAsia="PMingLiU" w:hAnsi="PMingLiU"/>
          <w:sz w:val="22"/>
          <w:szCs w:val="22"/>
        </w:rPr>
      </w:pPr>
      <w:r w:rsidRPr="00864B36">
        <w:rPr>
          <w:rFonts w:ascii="PMingLiU" w:eastAsia="PMingLiU" w:hAnsi="PMingLiU" w:hint="eastAsia"/>
          <w:sz w:val="22"/>
          <w:szCs w:val="22"/>
        </w:rPr>
        <w:lastRenderedPageBreak/>
        <w:t>九、林爽文起事暴露了臺灣軍事制度的三個弱點</w:t>
      </w:r>
    </w:p>
    <w:p w14:paraId="5E37EE44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22BC91A1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864B36">
        <w:rPr>
          <w:rFonts w:ascii="PMingLiU" w:eastAsia="PMingLiU" w:hAnsi="PMingLiU" w:hint="eastAsia"/>
          <w:sz w:val="22"/>
          <w:szCs w:val="22"/>
        </w:rPr>
        <w:t>第一，是兵力分散。臺灣駐軍分布於府城、南北路、海口、汛塘與各地方據點，看似覆蓋全臺，實際上每處兵力都有限。</w:t>
      </w:r>
    </w:p>
    <w:p w14:paraId="372B88AF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1C276816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864B36">
        <w:rPr>
          <w:rFonts w:ascii="PMingLiU" w:eastAsia="PMingLiU" w:hAnsi="PMingLiU" w:hint="eastAsia"/>
          <w:sz w:val="22"/>
          <w:szCs w:val="22"/>
        </w:rPr>
        <w:t>第二，是機動性不足。班兵、汛塘、海防據點使兵力固定在不同地方，戰時調動困難；一旦南北同時有事，清軍很難集中主力。</w:t>
      </w:r>
    </w:p>
    <w:p w14:paraId="2ED0C48C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1A10FD50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864B36">
        <w:rPr>
          <w:rFonts w:ascii="PMingLiU" w:eastAsia="PMingLiU" w:hAnsi="PMingLiU" w:hint="eastAsia"/>
          <w:sz w:val="22"/>
          <w:szCs w:val="22"/>
        </w:rPr>
        <w:t>第三，是外援依賴高。臺灣本地兵力無法平定大規模民變，必須依靠福建、廣東，後來甚至湖南、湖北、貴州、四川、廣西等省兵力渡臺支援。李智君的跨海投送研究正說明，平定林爽文戰爭最後牽動大半個中國的兵力、餉銀和糧食。</w:t>
      </w:r>
      <w:r w:rsidRPr="00864B36">
        <w:rPr>
          <w:rFonts w:ascii="PMingLiU" w:eastAsia="PMingLiU" w:hAnsi="PMingLiU"/>
          <w:sz w:val="22"/>
          <w:szCs w:val="22"/>
        </w:rPr>
        <w:t xml:space="preserve"> </w:t>
      </w:r>
    </w:p>
    <w:p w14:paraId="18D2A05C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635EA909" w14:textId="77777777" w:rsidR="00567599" w:rsidRPr="00864B36" w:rsidRDefault="00567599" w:rsidP="0056759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864B36">
        <w:rPr>
          <w:rFonts w:ascii="PMingLiU" w:eastAsia="PMingLiU" w:hAnsi="PMingLiU" w:hint="eastAsia"/>
          <w:sz w:val="22"/>
          <w:szCs w:val="22"/>
          <w:highlight w:val="yellow"/>
        </w:rPr>
        <w:t>參考：李智君，〈清代大陸兵力對臺灣的跨海投送——以乾隆朝平定林爽文的戰爭為例〉，《南國學術》，2021年第1</w:t>
      </w:r>
    </w:p>
    <w:p w14:paraId="4187A047" w14:textId="77777777" w:rsidR="00567599" w:rsidRPr="00864B36" w:rsidRDefault="00567599" w:rsidP="00567599">
      <w:pPr>
        <w:rPr>
          <w:rFonts w:ascii="PMingLiU" w:eastAsia="PMingLiU" w:hAnsi="PMingLiU"/>
          <w:sz w:val="22"/>
          <w:szCs w:val="22"/>
        </w:rPr>
      </w:pPr>
      <w:r w:rsidRPr="00864B36">
        <w:rPr>
          <w:rFonts w:ascii="PMingLiU" w:eastAsia="PMingLiU" w:hAnsi="PMingLiU"/>
          <w:sz w:val="22"/>
          <w:szCs w:val="22"/>
        </w:rPr>
        <w:br w:type="page"/>
      </w:r>
    </w:p>
    <w:p w14:paraId="4BC22C68" w14:textId="77777777" w:rsidR="00DE33B0" w:rsidRPr="000D1AD9" w:rsidRDefault="00DE33B0" w:rsidP="00B51D8D">
      <w:pPr>
        <w:pStyle w:val="Heading6"/>
      </w:pPr>
    </w:p>
    <w:sectPr w:rsidR="00DE33B0" w:rsidRPr="000D1AD9" w:rsidSect="004E2153">
      <w:pgSz w:w="11906" w:h="16838"/>
      <w:pgMar w:top="357" w:right="369" w:bottom="816" w:left="35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attachedTemplate r:id="rId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599"/>
    <w:rsid w:val="000463E8"/>
    <w:rsid w:val="000D1AD9"/>
    <w:rsid w:val="001E4FBD"/>
    <w:rsid w:val="00247536"/>
    <w:rsid w:val="00285DA3"/>
    <w:rsid w:val="004D16CC"/>
    <w:rsid w:val="004E2153"/>
    <w:rsid w:val="00567599"/>
    <w:rsid w:val="006F22F3"/>
    <w:rsid w:val="00B51D8D"/>
    <w:rsid w:val="00B56244"/>
    <w:rsid w:val="00B83FDB"/>
    <w:rsid w:val="00DE33B0"/>
    <w:rsid w:val="00DF0E56"/>
    <w:rsid w:val="00E37EB2"/>
    <w:rsid w:val="00F74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99A46A"/>
  <w15:chartTrackingRefBased/>
  <w15:docId w15:val="{53D9A9C8-7BD6-9F46-9EA1-7BB761ACC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7599"/>
  </w:style>
  <w:style w:type="paragraph" w:styleId="Heading1">
    <w:name w:val="heading 1"/>
    <w:basedOn w:val="Normal"/>
    <w:next w:val="Normal"/>
    <w:link w:val="Heading1Char"/>
    <w:uiPriority w:val="9"/>
    <w:qFormat/>
    <w:rsid w:val="00B51D8D"/>
    <w:pPr>
      <w:keepNext/>
      <w:keepLines/>
      <w:spacing w:after="0"/>
      <w:outlineLvl w:val="0"/>
    </w:pPr>
    <w:rPr>
      <w:rFonts w:ascii="PMingLiU" w:eastAsiaTheme="majorEastAsia" w:hAnsi="PMingLiU" w:cstheme="majorBidi"/>
      <w:color w:val="000000" w:themeColor="text1"/>
      <w:sz w:val="2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1AD9"/>
    <w:pPr>
      <w:keepNext/>
      <w:keepLines/>
      <w:spacing w:after="0"/>
      <w:outlineLvl w:val="1"/>
    </w:pPr>
    <w:rPr>
      <w:rFonts w:ascii="PMingLiU" w:eastAsiaTheme="majorEastAsia" w:hAnsi="PMingLiU" w:cstheme="majorBidi"/>
      <w:color w:val="000000" w:themeColor="text1"/>
      <w:sz w:val="2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D1AD9"/>
    <w:pPr>
      <w:keepNext/>
      <w:keepLines/>
      <w:spacing w:after="0"/>
      <w:outlineLvl w:val="2"/>
    </w:pPr>
    <w:rPr>
      <w:rFonts w:asciiTheme="minorEastAsia" w:eastAsiaTheme="majorEastAsia" w:hAnsiTheme="minorEastAsia" w:cstheme="majorBidi"/>
      <w:color w:val="000000" w:themeColor="text1"/>
      <w:sz w:val="22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D1AD9"/>
    <w:pPr>
      <w:keepNext/>
      <w:keepLines/>
      <w:spacing w:after="0"/>
      <w:outlineLvl w:val="3"/>
    </w:pPr>
    <w:rPr>
      <w:rFonts w:asciiTheme="majorEastAsia" w:eastAsiaTheme="majorEastAsia" w:hAnsiTheme="majorEastAsia" w:cstheme="majorBidi"/>
      <w:iCs/>
      <w:color w:val="000000" w:themeColor="text1"/>
      <w:sz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D1AD9"/>
    <w:pPr>
      <w:keepNext/>
      <w:keepLines/>
      <w:spacing w:after="0"/>
      <w:outlineLvl w:val="4"/>
    </w:pPr>
    <w:rPr>
      <w:rFonts w:asciiTheme="minorEastAsia" w:eastAsiaTheme="majorEastAsia" w:hAnsiTheme="minorEastAsia" w:cstheme="majorBidi"/>
      <w:color w:val="000000" w:themeColor="text1"/>
      <w:sz w:val="22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B51D8D"/>
    <w:pPr>
      <w:keepNext/>
      <w:keepLines/>
      <w:spacing w:after="0"/>
      <w:outlineLvl w:val="5"/>
    </w:pPr>
    <w:rPr>
      <w:rFonts w:asciiTheme="majorEastAsia" w:eastAsiaTheme="majorEastAsia" w:hAnsiTheme="majorEastAsia" w:cstheme="majorBidi"/>
      <w:iCs/>
      <w:color w:val="000000" w:themeColor="text1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1D8D"/>
    <w:pPr>
      <w:keepNext/>
      <w:keepLines/>
      <w:spacing w:after="0"/>
      <w:outlineLvl w:val="6"/>
    </w:pPr>
    <w:rPr>
      <w:rFonts w:asciiTheme="majorEastAsia" w:eastAsiaTheme="majorEastAsia" w:hAnsiTheme="majorEastAsia" w:cstheme="majorBidi"/>
      <w:color w:val="000000" w:themeColor="text1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33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33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1D8D"/>
    <w:rPr>
      <w:rFonts w:ascii="PMingLiU" w:eastAsiaTheme="majorEastAsia" w:hAnsi="PMingLiU" w:cstheme="majorBidi"/>
      <w:color w:val="000000" w:themeColor="text1"/>
      <w:sz w:val="2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D1AD9"/>
    <w:rPr>
      <w:rFonts w:ascii="PMingLiU" w:eastAsiaTheme="majorEastAsia" w:hAnsi="PMingLiU" w:cstheme="majorBidi"/>
      <w:color w:val="000000" w:themeColor="text1"/>
      <w:sz w:val="2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D1AD9"/>
    <w:rPr>
      <w:rFonts w:asciiTheme="minorEastAsia" w:eastAsiaTheme="majorEastAsia" w:hAnsiTheme="minorEastAsia" w:cstheme="majorBidi"/>
      <w:color w:val="000000" w:themeColor="text1"/>
      <w:sz w:val="22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D1AD9"/>
    <w:rPr>
      <w:rFonts w:asciiTheme="majorEastAsia" w:eastAsiaTheme="majorEastAsia" w:hAnsiTheme="majorEastAsia" w:cstheme="majorBidi"/>
      <w:iCs/>
      <w:color w:val="000000" w:themeColor="text1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rsid w:val="000D1AD9"/>
    <w:rPr>
      <w:rFonts w:asciiTheme="minorEastAsia" w:eastAsiaTheme="majorEastAsia" w:hAnsiTheme="minorEastAsia" w:cstheme="majorBidi"/>
      <w:color w:val="000000" w:themeColor="text1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rsid w:val="00B51D8D"/>
    <w:rPr>
      <w:rFonts w:asciiTheme="majorEastAsia" w:eastAsiaTheme="majorEastAsia" w:hAnsiTheme="majorEastAsia" w:cstheme="majorBidi"/>
      <w:iCs/>
      <w:color w:val="000000" w:themeColor="text1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1D8D"/>
    <w:rPr>
      <w:rFonts w:asciiTheme="majorEastAsia" w:eastAsiaTheme="majorEastAsia" w:hAnsiTheme="majorEastAsia" w:cstheme="majorBidi"/>
      <w:color w:val="000000" w:themeColor="text1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33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33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33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33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33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33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33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33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33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33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33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33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33B0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567599"/>
    <w:pPr>
      <w:spacing w:before="480" w:line="276" w:lineRule="auto"/>
      <w:outlineLvl w:val="9"/>
    </w:pPr>
    <w:rPr>
      <w:rFonts w:asciiTheme="majorHAnsi" w:hAnsiTheme="majorHAnsi"/>
      <w:b/>
      <w:bCs/>
      <w:color w:val="0F4761" w:themeColor="accent1" w:themeShade="BF"/>
      <w:kern w:val="0"/>
      <w:sz w:val="28"/>
      <w:szCs w:val="28"/>
      <w:lang w:val="en-US"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67599"/>
    <w:pPr>
      <w:spacing w:before="120" w:after="0"/>
    </w:pPr>
    <w:rPr>
      <w:b/>
      <w:bCs/>
      <w:i/>
      <w:iCs/>
    </w:rPr>
  </w:style>
  <w:style w:type="character" w:styleId="Hyperlink">
    <w:name w:val="Hyperlink"/>
    <w:basedOn w:val="DefaultParagraphFont"/>
    <w:uiPriority w:val="99"/>
    <w:unhideWhenUsed/>
    <w:rsid w:val="00567599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567599"/>
    <w:pPr>
      <w:spacing w:before="120" w:after="0"/>
      <w:ind w:left="240"/>
    </w:pPr>
    <w:rPr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567599"/>
    <w:pPr>
      <w:spacing w:after="0"/>
      <w:ind w:left="480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567599"/>
    <w:pPr>
      <w:spacing w:after="0"/>
      <w:ind w:left="72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567599"/>
    <w:pPr>
      <w:spacing w:after="0"/>
      <w:ind w:left="96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567599"/>
    <w:pPr>
      <w:spacing w:after="0"/>
      <w:ind w:left="12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567599"/>
    <w:pPr>
      <w:spacing w:after="0"/>
      <w:ind w:left="144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567599"/>
    <w:pPr>
      <w:spacing w:after="0"/>
      <w:ind w:left="168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567599"/>
    <w:pPr>
      <w:spacing w:after="0"/>
      <w:ind w:left="1920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creamybanana/Library/Group%20Containers/UBF8T346G9.Office/User%20Content.localized/Templates.localized/E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B960789-C8FC-A147-931A-5976454E6B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Eng.dotx</Template>
  <TotalTime>1</TotalTime>
  <Pages>12</Pages>
  <Words>1741</Words>
  <Characters>9928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CreamyBanana</dc:creator>
  <cp:keywords/>
  <dc:description/>
  <cp:lastModifiedBy>LIU, Kai Wang [Student]</cp:lastModifiedBy>
  <cp:revision>2</cp:revision>
  <dcterms:created xsi:type="dcterms:W3CDTF">2026-04-27T10:59:00Z</dcterms:created>
  <dcterms:modified xsi:type="dcterms:W3CDTF">2026-04-27T13:52:00Z</dcterms:modified>
</cp:coreProperties>
</file>