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E0CD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中文參考書目</w:t>
      </w:r>
    </w:p>
    <w:p w14:paraId="0E9FEF18" w14:textId="77777777" w:rsidR="00553EF5" w:rsidRDefault="00553EF5" w:rsidP="00553EF5">
      <w:pPr>
        <w:pStyle w:val="Heading6"/>
      </w:pPr>
    </w:p>
    <w:p w14:paraId="28A41E4C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王劍，〈近50年來清代奏摺制度研究綜述〉，《中國史研究動態》，2004年第7期，頁20–27。</w:t>
      </w:r>
    </w:p>
    <w:p w14:paraId="3B2B1463" w14:textId="77777777" w:rsidR="00553EF5" w:rsidRDefault="00553EF5" w:rsidP="00553EF5">
      <w:pPr>
        <w:pStyle w:val="Heading6"/>
      </w:pPr>
    </w:p>
    <w:p w14:paraId="7EB9FE71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李里峰，〈「新政治史」與中國近代史研究〉，《近代史研究》，2025年第1期，頁20–31。</w:t>
      </w:r>
    </w:p>
    <w:p w14:paraId="40632525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註：頁碼需再核實，因你原文標示為「頁20–31？」。</w:t>
      </w:r>
    </w:p>
    <w:p w14:paraId="3694CC17" w14:textId="77777777" w:rsidR="00553EF5" w:rsidRDefault="00553EF5" w:rsidP="00553EF5">
      <w:pPr>
        <w:pStyle w:val="Heading6"/>
      </w:pPr>
    </w:p>
    <w:p w14:paraId="05666B6C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莊吉發，《清高宗十全武功研究》。北京：中華書局，1987。</w:t>
      </w:r>
    </w:p>
    <w:p w14:paraId="4533B246" w14:textId="77777777" w:rsidR="00553EF5" w:rsidRDefault="00553EF5" w:rsidP="00553EF5">
      <w:pPr>
        <w:pStyle w:val="Heading6"/>
      </w:pPr>
    </w:p>
    <w:p w14:paraId="6B4B0F6E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曹鳳祥，〈乾隆帝出兵平定臺灣林爽文起義的戰略〉，《陝西廣播電視大學學報》，第4卷第4期，2002年12月，頁36–40。</w:t>
      </w:r>
    </w:p>
    <w:p w14:paraId="399BCD4C" w14:textId="77777777" w:rsidR="00553EF5" w:rsidRDefault="00553EF5" w:rsidP="00553EF5">
      <w:pPr>
        <w:pStyle w:val="Heading6"/>
      </w:pPr>
    </w:p>
    <w:p w14:paraId="291FAA76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李天鳴，〈林爽文事件中的諸羅戰役〉，《故宮學術季刊》，第19卷第1期，2001年秋季，頁151–194。</w:t>
      </w:r>
    </w:p>
    <w:p w14:paraId="3EDB4024" w14:textId="77777777" w:rsidR="00553EF5" w:rsidRDefault="00553EF5" w:rsidP="00553EF5">
      <w:pPr>
        <w:pStyle w:val="Heading6"/>
      </w:pPr>
    </w:p>
    <w:p w14:paraId="7C3885A8" w14:textId="77777777" w:rsidR="00553EF5" w:rsidRDefault="00553EF5" w:rsidP="00553EF5">
      <w:pPr>
        <w:pStyle w:val="Heading6"/>
      </w:pPr>
      <w:r>
        <w:rPr>
          <w:rFonts w:hint="eastAsia"/>
        </w:rPr>
        <w:t>吳正龍，〈林爽文事件中的彰化戰役：兼論人羣對立與官方剿撫策略〉，《臺灣文獻》，第</w:t>
      </w:r>
      <w:r>
        <w:t>69</w:t>
      </w:r>
      <w:r>
        <w:rPr>
          <w:rFonts w:hint="eastAsia"/>
        </w:rPr>
        <w:t>卷第</w:t>
      </w:r>
      <w:r>
        <w:t>2</w:t>
      </w:r>
      <w:r>
        <w:rPr>
          <w:rFonts w:hint="eastAsia"/>
        </w:rPr>
        <w:t>期，</w:t>
      </w:r>
      <w:r>
        <w:t>2018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月，頁</w:t>
      </w:r>
      <w:r>
        <w:t>67–124</w:t>
      </w:r>
      <w:r>
        <w:rPr>
          <w:rFonts w:hint="eastAsia"/>
        </w:rPr>
        <w:t>。</w:t>
      </w:r>
    </w:p>
    <w:p w14:paraId="1F6C8368" w14:textId="77777777" w:rsidR="00553EF5" w:rsidRDefault="00553EF5" w:rsidP="00553EF5">
      <w:pPr>
        <w:pStyle w:val="Heading6"/>
      </w:pPr>
    </w:p>
    <w:p w14:paraId="20F9EC8C" w14:textId="77777777" w:rsidR="00553EF5" w:rsidRDefault="00553EF5" w:rsidP="00553EF5">
      <w:pPr>
        <w:pStyle w:val="Heading6"/>
      </w:pPr>
      <w:r>
        <w:rPr>
          <w:rFonts w:hint="eastAsia"/>
        </w:rPr>
        <w:t>賴福順，《乾隆重要戰爭之軍需硏究》。臺北：國立故宮博物院，</w:t>
      </w:r>
      <w:r>
        <w:t>1984</w:t>
      </w:r>
      <w:r>
        <w:rPr>
          <w:rFonts w:hint="eastAsia"/>
        </w:rPr>
        <w:t>。</w:t>
      </w:r>
    </w:p>
    <w:p w14:paraId="2EF48071" w14:textId="77777777" w:rsidR="00553EF5" w:rsidRDefault="00553EF5" w:rsidP="00553EF5">
      <w:pPr>
        <w:pStyle w:val="Heading6"/>
      </w:pPr>
    </w:p>
    <w:p w14:paraId="74F030C3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李智君，〈清代大陸兵力對臺灣的跨海投送——以乾隆朝平定林爽文的戰爭為例〉，《南國學術》，2021年第1期，頁118–130。</w:t>
      </w:r>
    </w:p>
    <w:p w14:paraId="3D8B8E25" w14:textId="77777777" w:rsidR="00553EF5" w:rsidRDefault="00553EF5" w:rsidP="00553EF5">
      <w:pPr>
        <w:pStyle w:val="Heading6"/>
      </w:pPr>
    </w:p>
    <w:p w14:paraId="2DD8EB19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張正田，〈海峽兩岸關於清代臺灣林爽文事件的研究回顧：以專書、期刊論文為中心〉，《漢學研究通訊》，第43卷第3期，2024年8月，頁13–24。</w:t>
      </w:r>
    </w:p>
    <w:p w14:paraId="75BFE6C2" w14:textId="77777777" w:rsidR="00553EF5" w:rsidRDefault="00553EF5" w:rsidP="00553EF5">
      <w:pPr>
        <w:pStyle w:val="Heading6"/>
      </w:pPr>
    </w:p>
    <w:p w14:paraId="5E04A805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林加豐，〈圖史互證：院藏〈清軍圍捕林爽文圖〉與福康安剿捕林爽文之役〉，《故宮學術季刊》，第26卷第3期，2009年春季，頁105–138。</w:t>
      </w:r>
    </w:p>
    <w:p w14:paraId="73AEB848" w14:textId="77777777" w:rsidR="00553EF5" w:rsidRDefault="00553EF5" w:rsidP="00553EF5">
      <w:pPr>
        <w:pStyle w:val="Heading6"/>
      </w:pPr>
    </w:p>
    <w:p w14:paraId="10E094A6" w14:textId="77777777" w:rsidR="00553EF5" w:rsidRDefault="00553EF5" w:rsidP="00553EF5">
      <w:pPr>
        <w:pStyle w:val="Heading6"/>
        <w:rPr>
          <w:rFonts w:hint="eastAsia"/>
        </w:rPr>
      </w:pPr>
      <w:r>
        <w:rPr>
          <w:rFonts w:hint="eastAsia"/>
        </w:rPr>
        <w:t>臺灣史料集成編輯委員會編，《明清臺灣檔案彙編》第33冊。臺北：遠流出版事業股份有限公司，2007。</w:t>
      </w:r>
    </w:p>
    <w:p w14:paraId="12B36CC3" w14:textId="77777777" w:rsidR="00553EF5" w:rsidRDefault="00553EF5" w:rsidP="00553EF5">
      <w:pPr>
        <w:pStyle w:val="Heading6"/>
      </w:pPr>
    </w:p>
    <w:p w14:paraId="0CA441A0" w14:textId="0860411F" w:rsidR="00DE33B0" w:rsidRPr="000D1AD9" w:rsidRDefault="00553EF5" w:rsidP="00553EF5">
      <w:pPr>
        <w:pStyle w:val="Heading6"/>
      </w:pPr>
      <w:r>
        <w:rPr>
          <w:rFonts w:hint="eastAsia"/>
        </w:rPr>
        <w:t>中國人民大學清史研究所、中國第一歷史檔案館編，《天地會》第3冊。北京：中國人民大學出版社，1982。</w:t>
      </w: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F5"/>
    <w:rsid w:val="000D1AD9"/>
    <w:rsid w:val="001E4FBD"/>
    <w:rsid w:val="00247536"/>
    <w:rsid w:val="004D16CC"/>
    <w:rsid w:val="004E2153"/>
    <w:rsid w:val="00553EF5"/>
    <w:rsid w:val="007D2986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BDCED"/>
  <w15:chartTrackingRefBased/>
  <w15:docId w15:val="{C3AF261A-0537-2649-8527-AE89CDCE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</cp:revision>
  <dcterms:created xsi:type="dcterms:W3CDTF">2026-04-30T01:43:00Z</dcterms:created>
  <dcterms:modified xsi:type="dcterms:W3CDTF">2026-04-30T01:43:00Z</dcterms:modified>
</cp:coreProperties>
</file>