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08E8" w14:textId="77777777" w:rsidR="00333303" w:rsidRDefault="00333303" w:rsidP="00333303">
      <w:pPr>
        <w:pStyle w:val="Heading6"/>
      </w:pPr>
      <w:r>
        <w:rPr>
          <w:rFonts w:hint="eastAsia"/>
        </w:rPr>
        <w:t>張正田，〈海峽兩岸關於清代臺灣林爽文事件的研究回顧：以專書、期刊論文為中心〉，《漢學研究通訊》，第</w:t>
      </w:r>
      <w:r>
        <w:t>43</w:t>
      </w:r>
      <w:r>
        <w:rPr>
          <w:rFonts w:hint="eastAsia"/>
        </w:rPr>
        <w:t>卷第</w:t>
      </w:r>
      <w:r>
        <w:t>3</w:t>
      </w:r>
      <w:r>
        <w:rPr>
          <w:rFonts w:hint="eastAsia"/>
        </w:rPr>
        <w:t>期，</w:t>
      </w:r>
      <w:r>
        <w:t>2024</w:t>
      </w:r>
      <w:r>
        <w:rPr>
          <w:rFonts w:hint="eastAsia"/>
        </w:rPr>
        <w:t>年</w:t>
      </w:r>
      <w:r>
        <w:t>8</w:t>
      </w:r>
      <w:r>
        <w:rPr>
          <w:rFonts w:hint="eastAsia"/>
        </w:rPr>
        <w:t>月，頁</w:t>
      </w:r>
      <w:r>
        <w:t>13–24</w:t>
      </w:r>
      <w:r>
        <w:rPr>
          <w:rFonts w:hint="eastAsia"/>
        </w:rPr>
        <w:t>。</w:t>
      </w:r>
      <w:r>
        <w:t xml:space="preserve"> ￼</w:t>
      </w:r>
    </w:p>
    <w:p w14:paraId="6F88A43D" w14:textId="77777777" w:rsidR="00333303" w:rsidRDefault="00333303" w:rsidP="00333303">
      <w:pPr>
        <w:pStyle w:val="Heading6"/>
      </w:pPr>
    </w:p>
    <w:p w14:paraId="6811B0F1" w14:textId="77777777" w:rsidR="00333303" w:rsidRDefault="00333303" w:rsidP="00333303">
      <w:pPr>
        <w:pStyle w:val="Heading6"/>
        <w:rPr>
          <w:rFonts w:hint="eastAsia"/>
        </w:rPr>
      </w:pPr>
      <w:r>
        <w:rPr>
          <w:rFonts w:hint="eastAsia"/>
        </w:rPr>
        <w:t>一、文章性質與核心目的</w:t>
      </w:r>
    </w:p>
    <w:p w14:paraId="09BE0644" w14:textId="77777777" w:rsidR="00333303" w:rsidRDefault="00333303" w:rsidP="00333303">
      <w:pPr>
        <w:pStyle w:val="Heading6"/>
      </w:pPr>
    </w:p>
    <w:p w14:paraId="5A0303B7" w14:textId="77777777" w:rsidR="00333303" w:rsidRDefault="00333303" w:rsidP="00333303">
      <w:pPr>
        <w:pStyle w:val="Heading6"/>
      </w:pPr>
      <w:r>
        <w:rPr>
          <w:rFonts w:hint="eastAsia"/>
        </w:rPr>
        <w:t>這篇文章是一篇研究史回顧，主要整理海峽兩岸學界關於清代臺灣林爽文事件，以及由此事件衍生出的臺灣義民信仰，尤其是客家義民信仰的研究成果。文章的重點不是重新敘述林爽文事件的經過，而是梳理不同時期、不同地區、不同學術傳統如何理解這場事件。作者把研究成果大致分成兩大部分：第一部分是中國大陸學界對林爽文事件的研究；第二部分是臺灣學界對林爽文事件與義民信仰的研究。整體而言，文章指出，兩岸對林爽文事件的研究都已有相當積累，但研究取向、問題意識和史觀背景並不完全相同。</w:t>
      </w:r>
      <w:r>
        <w:t xml:space="preserve"> ￼</w:t>
      </w:r>
    </w:p>
    <w:p w14:paraId="40B27958" w14:textId="77777777" w:rsidR="00333303" w:rsidRDefault="00333303" w:rsidP="00333303">
      <w:pPr>
        <w:pStyle w:val="Heading6"/>
      </w:pPr>
    </w:p>
    <w:p w14:paraId="19E5F418" w14:textId="77777777" w:rsidR="00333303" w:rsidRDefault="00333303" w:rsidP="00333303">
      <w:pPr>
        <w:pStyle w:val="Heading6"/>
        <w:rPr>
          <w:rFonts w:hint="eastAsia"/>
        </w:rPr>
      </w:pPr>
      <w:r>
        <w:rPr>
          <w:rFonts w:hint="eastAsia"/>
        </w:rPr>
        <w:t>二、文章的基本判斷</w:t>
      </w:r>
    </w:p>
    <w:p w14:paraId="25D20F5E" w14:textId="77777777" w:rsidR="00333303" w:rsidRDefault="00333303" w:rsidP="00333303">
      <w:pPr>
        <w:pStyle w:val="Heading6"/>
      </w:pPr>
    </w:p>
    <w:p w14:paraId="06A44A0A" w14:textId="77777777" w:rsidR="00333303" w:rsidRDefault="00333303" w:rsidP="00333303">
      <w:pPr>
        <w:pStyle w:val="Heading6"/>
      </w:pPr>
      <w:r>
        <w:rPr>
          <w:rFonts w:hint="eastAsia"/>
        </w:rPr>
        <w:t>作者的基本判斷是：中國大陸早期研究較多把林爽文事件放在「農民起義」或「階級鬥爭」的框架下理解，而臺灣學界則較早從地方社會、族群關係、軍事過程、地方信仰和歷史記憶等角度切入。這種差異與兩岸的史學傳統、政治語境和材料關懷有關。中國大陸早期較重視「起義」性質和反清意義；臺灣學界則因臺灣是事件發生地，而且事件之後形成了長期的義民信仰與閩客族群記憶，所以研究問題更加地方化、多元化。</w:t>
      </w:r>
      <w:r>
        <w:t xml:space="preserve"> ￼</w:t>
      </w:r>
    </w:p>
    <w:p w14:paraId="67B920A5" w14:textId="77777777" w:rsidR="00333303" w:rsidRDefault="00333303" w:rsidP="00333303">
      <w:pPr>
        <w:pStyle w:val="Heading6"/>
      </w:pPr>
    </w:p>
    <w:p w14:paraId="442650ED" w14:textId="77777777" w:rsidR="00333303" w:rsidRDefault="00333303" w:rsidP="00333303">
      <w:pPr>
        <w:pStyle w:val="Heading6"/>
        <w:rPr>
          <w:rFonts w:hint="eastAsia"/>
        </w:rPr>
      </w:pPr>
      <w:r>
        <w:rPr>
          <w:rFonts w:hint="eastAsia"/>
        </w:rPr>
        <w:t>三、中國大陸早期研究：從「農民起義」框架出發</w:t>
      </w:r>
    </w:p>
    <w:p w14:paraId="0CFB7F06" w14:textId="77777777" w:rsidR="00333303" w:rsidRDefault="00333303" w:rsidP="00333303">
      <w:pPr>
        <w:pStyle w:val="Heading6"/>
      </w:pPr>
    </w:p>
    <w:p w14:paraId="2744C460" w14:textId="77777777" w:rsidR="00333303" w:rsidRDefault="00333303" w:rsidP="00333303">
      <w:pPr>
        <w:pStyle w:val="Heading6"/>
        <w:rPr>
          <w:rFonts w:hint="eastAsia"/>
        </w:rPr>
      </w:pPr>
      <w:r>
        <w:rPr>
          <w:rFonts w:hint="eastAsia"/>
        </w:rPr>
        <w:t>文章指出，中國大陸學術界早期常把林爽文事件理解為「農民起義」的一環。代表性成果包括劉如仲的《臺灣林爽文起義》、《臺灣林爽文起義資料選編》，以及其關於林爽文順天政權性質、委劄和軍令的論文。這些研究一方面整理了重要史料，另一方面也強調林爽文事件作為反清起義或農民運動的歷史意義。這種研究路徑反映了中國大陸早期史學中較常見的階級分析和農民戰爭史觀。</w:t>
      </w:r>
    </w:p>
    <w:p w14:paraId="142E5D63" w14:textId="77777777" w:rsidR="00333303" w:rsidRDefault="00333303" w:rsidP="00333303">
      <w:pPr>
        <w:pStyle w:val="Heading6"/>
      </w:pPr>
    </w:p>
    <w:p w14:paraId="51C14F85" w14:textId="77777777" w:rsidR="00333303" w:rsidRDefault="00333303" w:rsidP="00333303">
      <w:pPr>
        <w:pStyle w:val="Heading6"/>
        <w:rPr>
          <w:rFonts w:hint="eastAsia"/>
        </w:rPr>
      </w:pPr>
      <w:r>
        <w:rPr>
          <w:rFonts w:hint="eastAsia"/>
        </w:rPr>
        <w:t>四、大陸研究的轉向：不再只談階級鬥爭</w:t>
      </w:r>
    </w:p>
    <w:p w14:paraId="00146FC5" w14:textId="77777777" w:rsidR="00333303" w:rsidRDefault="00333303" w:rsidP="00333303">
      <w:pPr>
        <w:pStyle w:val="Heading6"/>
      </w:pPr>
    </w:p>
    <w:p w14:paraId="2B1092DD" w14:textId="77777777" w:rsidR="00333303" w:rsidRDefault="00333303" w:rsidP="00333303">
      <w:pPr>
        <w:pStyle w:val="Heading6"/>
        <w:rPr>
          <w:rFonts w:hint="eastAsia"/>
        </w:rPr>
      </w:pPr>
      <w:r>
        <w:rPr>
          <w:rFonts w:hint="eastAsia"/>
        </w:rPr>
        <w:t>文章也指出，中國大陸學界後來並非一直停留在「農民起義」框架。1980年代以後，尤其在兩岸學術交流逐漸增加後，大陸研究開始出現更多元的解釋。學者不再只問林爽文事件是否屬於農民起義，而是開始討論天地會、移民社會、羅漢腳、分類械鬥、族群衝突、原住民族、清廷軍事戰略、福建綠營水師、軍費支出、八旗官兵、跨海投送和戰後治理政策等問題。這表示大陸學界對林爽文事件的理解逐漸從單一政治定性，轉向更具社會史、軍事史和地方史色彩的研究。</w:t>
      </w:r>
    </w:p>
    <w:p w14:paraId="35DEE7E7" w14:textId="77777777" w:rsidR="00333303" w:rsidRDefault="00333303" w:rsidP="00333303">
      <w:pPr>
        <w:pStyle w:val="Heading6"/>
      </w:pPr>
    </w:p>
    <w:p w14:paraId="43735233" w14:textId="77777777" w:rsidR="00333303" w:rsidRDefault="00333303" w:rsidP="00333303">
      <w:pPr>
        <w:pStyle w:val="Heading6"/>
        <w:rPr>
          <w:rFonts w:hint="eastAsia"/>
        </w:rPr>
      </w:pPr>
      <w:r>
        <w:rPr>
          <w:rFonts w:hint="eastAsia"/>
        </w:rPr>
        <w:t>五、事件性質的重新討論</w:t>
      </w:r>
    </w:p>
    <w:p w14:paraId="3A253ABB" w14:textId="77777777" w:rsidR="00333303" w:rsidRDefault="00333303" w:rsidP="00333303">
      <w:pPr>
        <w:pStyle w:val="Heading6"/>
      </w:pPr>
    </w:p>
    <w:p w14:paraId="414AE75C" w14:textId="77777777" w:rsidR="00333303" w:rsidRDefault="00333303" w:rsidP="00333303">
      <w:pPr>
        <w:pStyle w:val="Heading6"/>
      </w:pPr>
      <w:r>
        <w:rPr>
          <w:rFonts w:hint="eastAsia"/>
        </w:rPr>
        <w:t>在林爽文事件性質方面，文章特別提到幾種不同觀點。有些研究質疑傳統「農民階級反對地主階級」的說法，也有研究討論其是否具有「反清復明」或「恢復明室」意味。另一些學者則認為，林爽文事件更應被理解為清代臺灣移民社會矛盾、會黨結合、分類械鬥和地方秩序失控共同造成的動亂。這些討論顯示，林爽文事件的性質並非單純可以用「起義」或「叛亂」概括，而是涉及國家治理、地方社會、族群關係與歷史詮釋的多重問題。</w:t>
      </w:r>
      <w:r>
        <w:t xml:space="preserve"> ￼</w:t>
      </w:r>
    </w:p>
    <w:p w14:paraId="719A7C93" w14:textId="77777777" w:rsidR="00333303" w:rsidRDefault="00333303" w:rsidP="00333303">
      <w:pPr>
        <w:pStyle w:val="Heading6"/>
      </w:pPr>
    </w:p>
    <w:p w14:paraId="4EAA1088" w14:textId="77777777" w:rsidR="00333303" w:rsidRDefault="00333303" w:rsidP="00333303">
      <w:pPr>
        <w:pStyle w:val="Heading6"/>
        <w:rPr>
          <w:rFonts w:hint="eastAsia"/>
        </w:rPr>
      </w:pPr>
      <w:r>
        <w:rPr>
          <w:rFonts w:hint="eastAsia"/>
        </w:rPr>
        <w:t>六、大陸研究中的族群與義民問題</w:t>
      </w:r>
    </w:p>
    <w:p w14:paraId="6D491848" w14:textId="77777777" w:rsidR="00333303" w:rsidRDefault="00333303" w:rsidP="00333303">
      <w:pPr>
        <w:pStyle w:val="Heading6"/>
      </w:pPr>
    </w:p>
    <w:p w14:paraId="28356B0F" w14:textId="77777777" w:rsidR="00333303" w:rsidRDefault="00333303" w:rsidP="00333303">
      <w:pPr>
        <w:pStyle w:val="Heading6"/>
        <w:rPr>
          <w:rFonts w:hint="eastAsia"/>
        </w:rPr>
      </w:pPr>
      <w:r>
        <w:rPr>
          <w:rFonts w:hint="eastAsia"/>
        </w:rPr>
        <w:t>文章指出，大陸學界後來也開始注意臺灣漢人內部族群關係，尤其是閩南、客家之間的互動。這一轉向與臺灣學界的影響有關。研究者開始討論義民問題、福客關係、六堆義民、客家義民信仰，以及林爽文事件如何在臺灣不同族群中留下不同歷史記憶。祁開龍、謝重光、鍾俊昆、劉英、鄒春生、張正田等人的研究，都從不同角度討論族群、神祇、義民身分和地方信仰之間的關係。這部分說明，大陸學界近年已經逐漸把林爽文事件放入臺灣地方社會與族群關係脈絡中理解。</w:t>
      </w:r>
    </w:p>
    <w:p w14:paraId="2458DD51" w14:textId="77777777" w:rsidR="00333303" w:rsidRDefault="00333303" w:rsidP="00333303">
      <w:pPr>
        <w:pStyle w:val="Heading6"/>
      </w:pPr>
    </w:p>
    <w:p w14:paraId="002F2F1E" w14:textId="77777777" w:rsidR="00333303" w:rsidRDefault="00333303" w:rsidP="00333303">
      <w:pPr>
        <w:pStyle w:val="Heading6"/>
        <w:rPr>
          <w:rFonts w:hint="eastAsia"/>
        </w:rPr>
      </w:pPr>
      <w:r>
        <w:rPr>
          <w:rFonts w:hint="eastAsia"/>
        </w:rPr>
        <w:t>七、大陸研究中的軍事與治理問題</w:t>
      </w:r>
    </w:p>
    <w:p w14:paraId="2D2F3857" w14:textId="77777777" w:rsidR="00333303" w:rsidRDefault="00333303" w:rsidP="00333303">
      <w:pPr>
        <w:pStyle w:val="Heading6"/>
      </w:pPr>
    </w:p>
    <w:p w14:paraId="07911C0E" w14:textId="77777777" w:rsidR="00333303" w:rsidRDefault="00333303" w:rsidP="00333303">
      <w:pPr>
        <w:pStyle w:val="Heading6"/>
      </w:pPr>
      <w:r>
        <w:rPr>
          <w:rFonts w:hint="eastAsia"/>
        </w:rPr>
        <w:t>除了族群與信仰，大陸學界也有不少研究關注清廷如何平定林爽文事件。文章提到，有研究探討乾隆帝出兵戰略、福建綠營水師的軟弱、清廷鎮壓事件的糧餉耗費、八旗官兵的戰爭事蹟、福康安平定事件時對《孫子兵法》的運用，以及清廷如何把大陸兵力跨海投送到臺灣。這類研究對你的題目尤其有用，因為它們涉及軍事調度、跨海運輸、後勤補給與清廷對臺灣戰事的應對方式。</w:t>
      </w:r>
      <w:r>
        <w:t xml:space="preserve"> ￼</w:t>
      </w:r>
    </w:p>
    <w:p w14:paraId="64EDFAA8" w14:textId="77777777" w:rsidR="00333303" w:rsidRDefault="00333303" w:rsidP="00333303">
      <w:pPr>
        <w:pStyle w:val="Heading6"/>
      </w:pPr>
    </w:p>
    <w:p w14:paraId="18B5FA5E" w14:textId="77777777" w:rsidR="00333303" w:rsidRDefault="00333303" w:rsidP="00333303">
      <w:pPr>
        <w:pStyle w:val="Heading6"/>
        <w:rPr>
          <w:rFonts w:hint="eastAsia"/>
        </w:rPr>
      </w:pPr>
      <w:r>
        <w:rPr>
          <w:rFonts w:hint="eastAsia"/>
        </w:rPr>
        <w:t>八、臺灣學界研究較豐富的原因</w:t>
      </w:r>
    </w:p>
    <w:p w14:paraId="18529AE1" w14:textId="77777777" w:rsidR="00333303" w:rsidRDefault="00333303" w:rsidP="00333303">
      <w:pPr>
        <w:pStyle w:val="Heading6"/>
      </w:pPr>
    </w:p>
    <w:p w14:paraId="340C5C17" w14:textId="77777777" w:rsidR="00333303" w:rsidRDefault="00333303" w:rsidP="00333303">
      <w:pPr>
        <w:pStyle w:val="Heading6"/>
      </w:pPr>
      <w:r>
        <w:rPr>
          <w:rFonts w:hint="eastAsia"/>
        </w:rPr>
        <w:t>文章認為，臺灣學界關於林爽文事件的研究成果更為豐富，主要有兩個原因。第一，臺灣是事件發生地，相關地名、碑刻、廟宇、民間記憶、地方傳說和族群關係都保留在臺灣社會之中。第二，林爽文事件後約兩百多年來，事件所衍生的歷史記憶，長期牽涉臺灣內部閩南與客家族群之間的情感糾葛。這種地方記憶和族群情結，使臺灣學者更容易從本土社會、地方文獻、田野調查和民間信仰角度持續研究此事件。</w:t>
      </w:r>
      <w:r>
        <w:t xml:space="preserve"> ￼</w:t>
      </w:r>
    </w:p>
    <w:p w14:paraId="5935BA97" w14:textId="77777777" w:rsidR="00333303" w:rsidRDefault="00333303" w:rsidP="00333303">
      <w:pPr>
        <w:pStyle w:val="Heading6"/>
      </w:pPr>
    </w:p>
    <w:p w14:paraId="7D4423B2" w14:textId="77777777" w:rsidR="00333303" w:rsidRDefault="00333303" w:rsidP="00333303">
      <w:pPr>
        <w:pStyle w:val="Heading6"/>
        <w:rPr>
          <w:rFonts w:hint="eastAsia"/>
        </w:rPr>
      </w:pPr>
      <w:r>
        <w:rPr>
          <w:rFonts w:hint="eastAsia"/>
        </w:rPr>
        <w:t>九、臺灣早期研究：沒有明顯受「農民起義」框架支配</w:t>
      </w:r>
    </w:p>
    <w:p w14:paraId="3A1A52A2" w14:textId="77777777" w:rsidR="00333303" w:rsidRDefault="00333303" w:rsidP="00333303">
      <w:pPr>
        <w:pStyle w:val="Heading6"/>
      </w:pPr>
    </w:p>
    <w:p w14:paraId="1EE0EB24" w14:textId="77777777" w:rsidR="00333303" w:rsidRDefault="00333303" w:rsidP="00333303">
      <w:pPr>
        <w:pStyle w:val="Heading6"/>
      </w:pPr>
      <w:r>
        <w:rPr>
          <w:rFonts w:hint="eastAsia"/>
        </w:rPr>
        <w:t>文章指出，臺灣早期研究並沒有像中國大陸早期研究那樣，強烈受到「農民起義」史觀支配。</w:t>
      </w:r>
      <w:r>
        <w:t>1970</w:t>
      </w:r>
      <w:r>
        <w:rPr>
          <w:rFonts w:hint="eastAsia"/>
        </w:rPr>
        <w:t>年代已有莊吉發討論天地會與林爽文之役，吳淑媛討論林爽文之亂與柴大紀之獄，彭賢林討論事件後清廷治臺措施，石萬壽研究林爽文役前臺灣府城城防。這些研究從一開始就較偏向制度、地方、軍事、吏治和臺灣社會本身，而不是單純把事件放入階級鬥爭框架。</w:t>
      </w:r>
      <w:r>
        <w:t xml:space="preserve"> ￼</w:t>
      </w:r>
    </w:p>
    <w:p w14:paraId="35A99933" w14:textId="77777777" w:rsidR="00333303" w:rsidRDefault="00333303" w:rsidP="00333303">
      <w:pPr>
        <w:pStyle w:val="Heading6"/>
      </w:pPr>
    </w:p>
    <w:p w14:paraId="4666FA31" w14:textId="77777777" w:rsidR="00333303" w:rsidRDefault="00333303" w:rsidP="00333303">
      <w:pPr>
        <w:pStyle w:val="Heading6"/>
        <w:rPr>
          <w:rFonts w:hint="eastAsia"/>
        </w:rPr>
      </w:pPr>
      <w:r>
        <w:rPr>
          <w:rFonts w:hint="eastAsia"/>
        </w:rPr>
        <w:t>十、臺灣研究的深化：小題大做與地方史特色</w:t>
      </w:r>
    </w:p>
    <w:p w14:paraId="7798FA45" w14:textId="77777777" w:rsidR="00333303" w:rsidRDefault="00333303" w:rsidP="00333303">
      <w:pPr>
        <w:pStyle w:val="Heading6"/>
      </w:pPr>
    </w:p>
    <w:p w14:paraId="42C62C6A" w14:textId="77777777" w:rsidR="00333303" w:rsidRDefault="00333303" w:rsidP="00333303">
      <w:pPr>
        <w:pStyle w:val="Heading6"/>
      </w:pPr>
      <w:r>
        <w:rPr>
          <w:rFonts w:hint="eastAsia"/>
        </w:rPr>
        <w:t>作者認為，臺灣學界對林爽文事件的研究有一種「小題大做」的學術風格。也就是從具體地方、具體人物、具體戰役、具體文物或具體信仰出發，深入分析事件的複雜面向。例如研究林爽文事件碑文、柴大紀案、王芬形象、諸羅戰役、彰化戰役、特殊地名、府城城防、港口攻防、臺灣原住民、得勝圖、滿漢文碑等。這種研究雖然題目看似細小，但能夠補充宏觀敘事難以呈現的地方細節。</w:t>
      </w:r>
      <w:r>
        <w:t xml:space="preserve"> ￼</w:t>
      </w:r>
    </w:p>
    <w:p w14:paraId="47A2C862" w14:textId="77777777" w:rsidR="00333303" w:rsidRDefault="00333303" w:rsidP="00333303">
      <w:pPr>
        <w:pStyle w:val="Heading6"/>
      </w:pPr>
    </w:p>
    <w:p w14:paraId="4AEE2454" w14:textId="77777777" w:rsidR="00333303" w:rsidRDefault="00333303" w:rsidP="00333303">
      <w:pPr>
        <w:pStyle w:val="Heading6"/>
        <w:rPr>
          <w:rFonts w:hint="eastAsia"/>
        </w:rPr>
      </w:pPr>
      <w:r>
        <w:rPr>
          <w:rFonts w:hint="eastAsia"/>
        </w:rPr>
        <w:t>十一、臺灣軍事史研究的重要成果</w:t>
      </w:r>
    </w:p>
    <w:p w14:paraId="2CF4845B" w14:textId="77777777" w:rsidR="00333303" w:rsidRDefault="00333303" w:rsidP="00333303">
      <w:pPr>
        <w:pStyle w:val="Heading6"/>
      </w:pPr>
    </w:p>
    <w:p w14:paraId="3B8668BB" w14:textId="77777777" w:rsidR="00333303" w:rsidRDefault="00333303" w:rsidP="00333303">
      <w:pPr>
        <w:pStyle w:val="Heading6"/>
      </w:pPr>
      <w:r>
        <w:rPr>
          <w:rFonts w:hint="eastAsia"/>
        </w:rPr>
        <w:t>文章特別整理了臺灣學界關於林爽文事件的軍事史研究。許毓良研究港口攻防、諸羅縣境內的重要戰役，以及林爽文事件的臨陣人數，強調此事件可能是臺灣史上規模最大的戰爭之一。李天鳴則從戰爭史角度研究諸羅戰役。吳正龍研究彰化戰役，並兼論人群對立與官方剿撫策略。這些研究對重建戰事過程很有幫助，也能讓研究者理解清廷在不同地區面對的軍事困難。</w:t>
      </w:r>
      <w:r>
        <w:t xml:space="preserve"> ￼</w:t>
      </w:r>
    </w:p>
    <w:p w14:paraId="2E6CA753" w14:textId="77777777" w:rsidR="00333303" w:rsidRDefault="00333303" w:rsidP="00333303">
      <w:pPr>
        <w:pStyle w:val="Heading6"/>
      </w:pPr>
    </w:p>
    <w:p w14:paraId="195BE961" w14:textId="77777777" w:rsidR="00333303" w:rsidRDefault="00333303" w:rsidP="00333303">
      <w:pPr>
        <w:pStyle w:val="Heading6"/>
        <w:rPr>
          <w:rFonts w:hint="eastAsia"/>
        </w:rPr>
      </w:pPr>
      <w:r>
        <w:rPr>
          <w:rFonts w:hint="eastAsia"/>
        </w:rPr>
        <w:t>十二、人物研究：柴大紀、王芬與趙翼</w:t>
      </w:r>
    </w:p>
    <w:p w14:paraId="7614F9FD" w14:textId="77777777" w:rsidR="00333303" w:rsidRDefault="00333303" w:rsidP="00333303">
      <w:pPr>
        <w:pStyle w:val="Heading6"/>
      </w:pPr>
    </w:p>
    <w:p w14:paraId="1DC75141" w14:textId="77777777" w:rsidR="00333303" w:rsidRDefault="00333303" w:rsidP="00333303">
      <w:pPr>
        <w:pStyle w:val="Heading6"/>
      </w:pPr>
      <w:r>
        <w:rPr>
          <w:rFonts w:hint="eastAsia"/>
        </w:rPr>
        <w:t>臺灣學界也重視林爽文事件中的具體人物。柴大紀案是一個重要研究焦點，因為柴大紀一方面曾堅守諸羅，另一方面又因貪污等問題被乾隆處置，牽涉軍功、吏治、皇帝判斷和前線將領形象。王芬則是林爽文勢力中的重要人物，後來在官方記載、民間傳說和不同政治時期中被不斷重塑形象。衛琪關於趙翼與臺灣的研究也很有意思，因為趙翼曾因李侍堯幕府關係接觸林爽文事件，留下相關材料。這些人物研究顯示，林爽文事件不只是戰爭事件，也是一個涉及記憶塑造、官僚判斷與史料生成的歷史場域。</w:t>
      </w:r>
      <w:r>
        <w:t xml:space="preserve"> ￼</w:t>
      </w:r>
    </w:p>
    <w:p w14:paraId="0284E523" w14:textId="77777777" w:rsidR="00333303" w:rsidRDefault="00333303" w:rsidP="00333303">
      <w:pPr>
        <w:pStyle w:val="Heading6"/>
      </w:pPr>
    </w:p>
    <w:p w14:paraId="3F571DDF" w14:textId="77777777" w:rsidR="00333303" w:rsidRDefault="00333303" w:rsidP="00333303">
      <w:pPr>
        <w:pStyle w:val="Heading6"/>
        <w:rPr>
          <w:rFonts w:hint="eastAsia"/>
        </w:rPr>
      </w:pPr>
      <w:r>
        <w:rPr>
          <w:rFonts w:hint="eastAsia"/>
        </w:rPr>
        <w:t>十三、圖像、碑刻與文物研究</w:t>
      </w:r>
    </w:p>
    <w:p w14:paraId="0C21C9A9" w14:textId="77777777" w:rsidR="00333303" w:rsidRDefault="00333303" w:rsidP="00333303">
      <w:pPr>
        <w:pStyle w:val="Heading6"/>
      </w:pPr>
    </w:p>
    <w:p w14:paraId="0742141E" w14:textId="77777777" w:rsidR="00333303" w:rsidRDefault="00333303" w:rsidP="00333303">
      <w:pPr>
        <w:pStyle w:val="Heading6"/>
      </w:pPr>
      <w:r>
        <w:rPr>
          <w:rFonts w:hint="eastAsia"/>
        </w:rPr>
        <w:lastRenderedPageBreak/>
        <w:t>文章也整理了與圖像、碑刻、輿圖有關的研究。林加豐以《清軍圍捕林爽文圖》與福康安剿捕林爽文之役作圖史互證；甘德星研究乾隆五十三年御製臺灣滿漢文碑，並從滿洲皇帝漢化與大一統中國觀角度分析；盧正恆比較哈佛燕京圖書館藏《平定臺灣得勝圖進呈副本》與銅版《得勝圖》。這些研究說明，林爽文事件的材料不只有文字檔案，還包括圖像、碑刻、輿圖和視覺政治。對於研究乾隆如何塑造平臺戰功、如何把戰事轉化為帝國勝利敘事，這類成果很有參考價值。</w:t>
      </w:r>
      <w:r>
        <w:t xml:space="preserve"> ￼</w:t>
      </w:r>
    </w:p>
    <w:p w14:paraId="0D0A6D76" w14:textId="77777777" w:rsidR="00333303" w:rsidRDefault="00333303" w:rsidP="00333303">
      <w:pPr>
        <w:pStyle w:val="Heading6"/>
      </w:pPr>
    </w:p>
    <w:p w14:paraId="641601EF" w14:textId="77777777" w:rsidR="00333303" w:rsidRDefault="00333303" w:rsidP="00333303">
      <w:pPr>
        <w:pStyle w:val="Heading6"/>
        <w:rPr>
          <w:rFonts w:hint="eastAsia"/>
        </w:rPr>
      </w:pPr>
      <w:r>
        <w:rPr>
          <w:rFonts w:hint="eastAsia"/>
        </w:rPr>
        <w:t>十四、邊區、番界與原住民族研究</w:t>
      </w:r>
    </w:p>
    <w:p w14:paraId="3B552543" w14:textId="77777777" w:rsidR="00333303" w:rsidRDefault="00333303" w:rsidP="00333303">
      <w:pPr>
        <w:pStyle w:val="Heading6"/>
      </w:pPr>
    </w:p>
    <w:p w14:paraId="4C834358" w14:textId="77777777" w:rsidR="00333303" w:rsidRDefault="00333303" w:rsidP="00333303">
      <w:pPr>
        <w:pStyle w:val="Heading6"/>
      </w:pPr>
      <w:r>
        <w:rPr>
          <w:rFonts w:hint="eastAsia"/>
        </w:rPr>
        <w:t>文章亦指出，部分研究把林爽文事件放入臺灣邊區治理與原住民族關係中討論。例如林玉茹與畏冬以乾隆四十九年《臺灣番界紫線圖》為中心，研究林爽文事件前的臺灣邊區圖像；何孟侯研究林爽文事件中的臺灣原住民；李文良則從番屯與隘墾角度，討論事件後清廷如何把熟番納入番屯體系，並引發新的漢人開墾模式。這些研究提醒我們，林爽文事件不只是漢人社會內部的動亂，也與清廷對臺灣邊區、原住民族和土地開發的治理有關。</w:t>
      </w:r>
      <w:r>
        <w:t xml:space="preserve"> ￼</w:t>
      </w:r>
    </w:p>
    <w:p w14:paraId="62BB7629" w14:textId="77777777" w:rsidR="00333303" w:rsidRDefault="00333303" w:rsidP="00333303">
      <w:pPr>
        <w:pStyle w:val="Heading6"/>
      </w:pPr>
    </w:p>
    <w:p w14:paraId="4CB0F203" w14:textId="77777777" w:rsidR="00333303" w:rsidRDefault="00333303" w:rsidP="00333303">
      <w:pPr>
        <w:pStyle w:val="Heading6"/>
        <w:rPr>
          <w:rFonts w:hint="eastAsia"/>
        </w:rPr>
      </w:pPr>
      <w:r>
        <w:rPr>
          <w:rFonts w:hint="eastAsia"/>
        </w:rPr>
        <w:t>十五、義民信仰是文章後半的核心</w:t>
      </w:r>
    </w:p>
    <w:p w14:paraId="3B41453E" w14:textId="77777777" w:rsidR="00333303" w:rsidRDefault="00333303" w:rsidP="00333303">
      <w:pPr>
        <w:pStyle w:val="Heading6"/>
      </w:pPr>
    </w:p>
    <w:p w14:paraId="520A216E" w14:textId="77777777" w:rsidR="00333303" w:rsidRDefault="00333303" w:rsidP="00333303">
      <w:pPr>
        <w:pStyle w:val="Heading6"/>
      </w:pPr>
      <w:r>
        <w:rPr>
          <w:rFonts w:hint="eastAsia"/>
        </w:rPr>
        <w:t>文章後半大篇幅整理臺灣義民信仰研究，尤其是客家義民信仰。作者指出，林爽文事件後，北臺灣部分客家地區形成了發達的義民信仰，例如新竹義民廟、桃園楊梅聯庄、苗栗義民廟等。這些信仰起源於事件中客家民團協助清廷平定林爽文勢力後，地方社會對戰死者的祭祀。義民信仰後來不只是宗教祭祀，也成為客家族群認同、地方社會組織和歷史記憶的重要載體。</w:t>
      </w:r>
      <w:r>
        <w:t xml:space="preserve"> ￼</w:t>
      </w:r>
    </w:p>
    <w:p w14:paraId="69B164DB" w14:textId="77777777" w:rsidR="00333303" w:rsidRDefault="00333303" w:rsidP="00333303">
      <w:pPr>
        <w:pStyle w:val="Heading6"/>
      </w:pPr>
    </w:p>
    <w:p w14:paraId="557714FA" w14:textId="77777777" w:rsidR="00333303" w:rsidRDefault="00333303" w:rsidP="00333303">
      <w:pPr>
        <w:pStyle w:val="Heading6"/>
        <w:rPr>
          <w:rFonts w:hint="eastAsia"/>
        </w:rPr>
      </w:pPr>
      <w:r>
        <w:rPr>
          <w:rFonts w:hint="eastAsia"/>
        </w:rPr>
        <w:t>十六、新竹義民廟研究的代表性</w:t>
      </w:r>
    </w:p>
    <w:p w14:paraId="546C987B" w14:textId="77777777" w:rsidR="00333303" w:rsidRDefault="00333303" w:rsidP="00333303">
      <w:pPr>
        <w:pStyle w:val="Heading6"/>
      </w:pPr>
    </w:p>
    <w:p w14:paraId="65228278" w14:textId="77777777" w:rsidR="00333303" w:rsidRDefault="00333303" w:rsidP="00333303">
      <w:pPr>
        <w:pStyle w:val="Heading6"/>
      </w:pPr>
      <w:r>
        <w:rPr>
          <w:rFonts w:hint="eastAsia"/>
        </w:rPr>
        <w:t>新竹義民廟是臺灣客家義民信仰研究中最重要的對象之一。文章提到，早在</w:t>
      </w:r>
      <w:r>
        <w:t>1970</w:t>
      </w:r>
      <w:r>
        <w:rPr>
          <w:rFonts w:hint="eastAsia"/>
        </w:rPr>
        <w:t>年代，臺灣已有文章介紹新竹縣新埔義民廟、褒忠亭義民廟和義民爺崇拜。後來楊鏡汀利用新出土史料探討新竹枋寮義民廟史，黃卓權討論義民廟早期歷史、傳說與記載，吳學明與林柔辰則從全臺客家聚落信仰調查角度討論義民爺信仰的擴張與演變。新竹義民廟之所以重要，是因為它的祭祀圈廣大，與北臺灣客家社會的聯庄組織和族群認同關係密切。</w:t>
      </w:r>
      <w:r>
        <w:t xml:space="preserve"> ￼</w:t>
      </w:r>
    </w:p>
    <w:p w14:paraId="77F422FC" w14:textId="77777777" w:rsidR="00333303" w:rsidRDefault="00333303" w:rsidP="00333303">
      <w:pPr>
        <w:pStyle w:val="Heading6"/>
      </w:pPr>
    </w:p>
    <w:p w14:paraId="6BEF253D" w14:textId="77777777" w:rsidR="00333303" w:rsidRDefault="00333303" w:rsidP="00333303">
      <w:pPr>
        <w:pStyle w:val="Heading6"/>
        <w:rPr>
          <w:rFonts w:hint="eastAsia"/>
        </w:rPr>
      </w:pPr>
      <w:r>
        <w:rPr>
          <w:rFonts w:hint="eastAsia"/>
        </w:rPr>
        <w:t>十七、苗栗與其他客家義民信仰研究</w:t>
      </w:r>
    </w:p>
    <w:p w14:paraId="50749390" w14:textId="77777777" w:rsidR="00333303" w:rsidRDefault="00333303" w:rsidP="00333303">
      <w:pPr>
        <w:pStyle w:val="Heading6"/>
      </w:pPr>
    </w:p>
    <w:p w14:paraId="234DE5A3" w14:textId="77777777" w:rsidR="00333303" w:rsidRDefault="00333303" w:rsidP="00333303">
      <w:pPr>
        <w:pStyle w:val="Heading6"/>
      </w:pPr>
      <w:r>
        <w:rPr>
          <w:rFonts w:hint="eastAsia"/>
        </w:rPr>
        <w:t>文章也指出，以往研究過度集中於新竹義民廟，後來學界開始注意苗栗、桃園、楊梅、六堆等地的義民信仰。張正田《被遺忘的大清「忠魂」》專書即以苗栗堡客家義民信仰為中心，探討為何苗栗義民廟與新竹義民廟同樣源自林爽文事件，但香火和祭祀圈發展卻有明顯差異。賴玉玲則研究楊梅義民信仰聯庄與祭典。林本炫、劉煥雲等人也對苗栗義民爺信仰、神格認知和文化觀光進行研究。這些成果使義民信仰研究從單一廟宇擴展到不同地區的比較。</w:t>
      </w:r>
      <w:r>
        <w:t xml:space="preserve"> ￼</w:t>
      </w:r>
    </w:p>
    <w:p w14:paraId="7E6F6E62" w14:textId="77777777" w:rsidR="00333303" w:rsidRDefault="00333303" w:rsidP="00333303">
      <w:pPr>
        <w:pStyle w:val="Heading6"/>
      </w:pPr>
    </w:p>
    <w:p w14:paraId="13EAB372" w14:textId="77777777" w:rsidR="00333303" w:rsidRDefault="00333303" w:rsidP="00333303">
      <w:pPr>
        <w:pStyle w:val="Heading6"/>
        <w:rPr>
          <w:rFonts w:hint="eastAsia"/>
        </w:rPr>
      </w:pPr>
      <w:r>
        <w:rPr>
          <w:rFonts w:hint="eastAsia"/>
        </w:rPr>
        <w:t>十八、六堆義民與南臺灣客家研究</w:t>
      </w:r>
    </w:p>
    <w:p w14:paraId="2DF2CA0C" w14:textId="77777777" w:rsidR="00333303" w:rsidRDefault="00333303" w:rsidP="00333303">
      <w:pPr>
        <w:pStyle w:val="Heading6"/>
      </w:pPr>
    </w:p>
    <w:p w14:paraId="563DF996" w14:textId="77777777" w:rsidR="00333303" w:rsidRDefault="00333303" w:rsidP="00333303">
      <w:pPr>
        <w:pStyle w:val="Heading6"/>
      </w:pPr>
      <w:r>
        <w:rPr>
          <w:rFonts w:hint="eastAsia"/>
        </w:rPr>
        <w:t>南臺灣六堆客家義民也是重要研究對象。文章提到，《邀功紀略》是敘述林爽文事件中六堆義民史事的重要材料，相關研究討論六堆義軍參與平定事件的始末、詩文表述和歷史記憶。李文良關於清代南臺灣客家移墾與社會的研究，則把六堆義民放在移民開發、地方社會動亂和義民身分形成的脈絡中分析。陳麗華也從忠義亭到忠義祠的演變，討論六堆客家地域社會如何轉化。這些研究說明，義民不是單純的「忠於清廷」形象，而是與地方自保、族群競爭和社會秩序密切相關。</w:t>
      </w:r>
      <w:r>
        <w:t xml:space="preserve"> ￼</w:t>
      </w:r>
    </w:p>
    <w:p w14:paraId="229CD76B" w14:textId="77777777" w:rsidR="00333303" w:rsidRDefault="00333303" w:rsidP="00333303">
      <w:pPr>
        <w:pStyle w:val="Heading6"/>
      </w:pPr>
    </w:p>
    <w:p w14:paraId="7600FB3C" w14:textId="77777777" w:rsidR="00333303" w:rsidRDefault="00333303" w:rsidP="00333303">
      <w:pPr>
        <w:pStyle w:val="Heading6"/>
        <w:rPr>
          <w:rFonts w:hint="eastAsia"/>
        </w:rPr>
      </w:pPr>
      <w:r>
        <w:rPr>
          <w:rFonts w:hint="eastAsia"/>
        </w:rPr>
        <w:t>十九、義民信仰與閩客族群情結</w:t>
      </w:r>
    </w:p>
    <w:p w14:paraId="1EB3250F" w14:textId="77777777" w:rsidR="00333303" w:rsidRDefault="00333303" w:rsidP="00333303">
      <w:pPr>
        <w:pStyle w:val="Heading6"/>
      </w:pPr>
    </w:p>
    <w:p w14:paraId="59A17874" w14:textId="77777777" w:rsidR="00333303" w:rsidRDefault="00333303" w:rsidP="00333303">
      <w:pPr>
        <w:pStyle w:val="Heading6"/>
      </w:pPr>
      <w:r>
        <w:rPr>
          <w:rFonts w:hint="eastAsia"/>
        </w:rPr>
        <w:lastRenderedPageBreak/>
        <w:t>文章特別強調，義民信仰研究背後有明顯的閩客族群情結。由於林爽文事件中客家義民協助清廷，而林爽文勢力多與漳州裔閩南人有關，因此後世臺灣社會中不時出現對客家義民的爭議性評價。部分閩南觀點曾把義民信仰視為「孤魂野鬼」、「陰神」或「陰廟」，引發客家方面反駁。客家學者和地方人士則強調義民爺有主、有忠義精神，並非孤魂祭祀。這說明義民信仰本身不只是宗教現象，也承載了臺灣社會內部長期的族群記憶與情感衝突。</w:t>
      </w:r>
      <w:r>
        <w:t xml:space="preserve"> ￼</w:t>
      </w:r>
    </w:p>
    <w:p w14:paraId="2296E956" w14:textId="77777777" w:rsidR="00333303" w:rsidRDefault="00333303" w:rsidP="00333303">
      <w:pPr>
        <w:pStyle w:val="Heading6"/>
      </w:pPr>
    </w:p>
    <w:p w14:paraId="12825100" w14:textId="77777777" w:rsidR="00333303" w:rsidRDefault="00333303" w:rsidP="00333303">
      <w:pPr>
        <w:pStyle w:val="Heading6"/>
        <w:rPr>
          <w:rFonts w:hint="eastAsia"/>
        </w:rPr>
      </w:pPr>
      <w:r>
        <w:rPr>
          <w:rFonts w:hint="eastAsia"/>
        </w:rPr>
        <w:t>二十、閩南義民與「旌義」信仰的再發現</w:t>
      </w:r>
    </w:p>
    <w:p w14:paraId="2C6A2ECA" w14:textId="77777777" w:rsidR="00333303" w:rsidRDefault="00333303" w:rsidP="00333303">
      <w:pPr>
        <w:pStyle w:val="Heading6"/>
      </w:pPr>
    </w:p>
    <w:p w14:paraId="0091C14C" w14:textId="77777777" w:rsidR="00333303" w:rsidRDefault="00333303" w:rsidP="00333303">
      <w:pPr>
        <w:pStyle w:val="Heading6"/>
      </w:pPr>
      <w:r>
        <w:rPr>
          <w:rFonts w:hint="eastAsia"/>
        </w:rPr>
        <w:t>文章指出，近年研究開始注意到，林爽文事件中並不只有客家人協助清廷，泉州系閩南人也組織義民軍幫助清廷平亂。可是與客家義民信仰相比，泉州閩南義民信仰在後世並未形成同樣龐大而持久的祭祀體系。近年有研究討論雲林北港一帶的「旌義義民廟」，嘗試理解清廷頒贈「旌義」符號後，為何在部分閩南地方形成較弱的義民崇祀。這類研究有助於打破「義民＝客家」的單一印象，重新看到事件中不同族群的複雜位置。</w:t>
      </w:r>
      <w:r>
        <w:t xml:space="preserve"> ￼</w:t>
      </w:r>
    </w:p>
    <w:p w14:paraId="72B11FC7" w14:textId="77777777" w:rsidR="00333303" w:rsidRDefault="00333303" w:rsidP="00333303">
      <w:pPr>
        <w:pStyle w:val="Heading6"/>
      </w:pPr>
    </w:p>
    <w:p w14:paraId="101D04B7" w14:textId="77777777" w:rsidR="00333303" w:rsidRDefault="00333303" w:rsidP="00333303">
      <w:pPr>
        <w:pStyle w:val="Heading6"/>
        <w:rPr>
          <w:rFonts w:hint="eastAsia"/>
        </w:rPr>
      </w:pPr>
      <w:r>
        <w:rPr>
          <w:rFonts w:hint="eastAsia"/>
        </w:rPr>
        <w:t>二十一、作者對部分研究的批評</w:t>
      </w:r>
    </w:p>
    <w:p w14:paraId="444AA33E" w14:textId="77777777" w:rsidR="00333303" w:rsidRDefault="00333303" w:rsidP="00333303">
      <w:pPr>
        <w:pStyle w:val="Heading6"/>
      </w:pPr>
    </w:p>
    <w:p w14:paraId="7E65554A" w14:textId="77777777" w:rsidR="00333303" w:rsidRDefault="00333303" w:rsidP="00333303">
      <w:pPr>
        <w:pStyle w:val="Heading6"/>
      </w:pPr>
      <w:r>
        <w:rPr>
          <w:rFonts w:hint="eastAsia"/>
        </w:rPr>
        <w:t>這篇文章不是單純羅列研究成果，也對某些研究提出批評。例如作者批評部分研究把所有臺灣客家人都視為理所當然信仰義民，或認為客家人必然被動或主動成為清廷義民，這種看法忽略了不同客家地區的區域差異。作者也指出，有些研究忽視了清代臺灣閩南人內部漳州系與泉州系之間的緊張關係，因而容易把林爽文事件簡化為「閩南人反清、客家人助清」的對立。作者主張，研究林爽文事件與義民信仰時，必須注意地區差異、族群內部差異和地方歷史脈絡。</w:t>
      </w:r>
      <w:r>
        <w:t xml:space="preserve"> ￼</w:t>
      </w:r>
    </w:p>
    <w:p w14:paraId="1085FAF0" w14:textId="77777777" w:rsidR="00333303" w:rsidRDefault="00333303" w:rsidP="00333303">
      <w:pPr>
        <w:pStyle w:val="Heading6"/>
      </w:pPr>
    </w:p>
    <w:p w14:paraId="7EF870D2" w14:textId="77777777" w:rsidR="00333303" w:rsidRDefault="00333303" w:rsidP="00333303">
      <w:pPr>
        <w:pStyle w:val="Heading6"/>
        <w:rPr>
          <w:rFonts w:hint="eastAsia"/>
        </w:rPr>
      </w:pPr>
      <w:r>
        <w:rPr>
          <w:rFonts w:hint="eastAsia"/>
        </w:rPr>
        <w:t>二十二、文章對研究史的整體歸納</w:t>
      </w:r>
    </w:p>
    <w:p w14:paraId="1C0D2BDE" w14:textId="77777777" w:rsidR="00333303" w:rsidRDefault="00333303" w:rsidP="00333303">
      <w:pPr>
        <w:pStyle w:val="Heading6"/>
      </w:pPr>
    </w:p>
    <w:p w14:paraId="405895A0" w14:textId="77777777" w:rsidR="00333303" w:rsidRDefault="00333303" w:rsidP="00333303">
      <w:pPr>
        <w:pStyle w:val="Heading6"/>
      </w:pPr>
      <w:r>
        <w:rPr>
          <w:rFonts w:hint="eastAsia"/>
        </w:rPr>
        <w:t>整體而言，文章把林爽文事件研究史歸納成幾個方向：第一，早期政治史和起義史研究，關心事件性質；第二，社會史研究，關心移民社會、羅漢腳、會黨和分類械鬥；第三，軍事史研究，關心清廷戰略、戰役過程、軍費、兵力和跨海投送；第四，地方史研究，關心彰化、諸羅、府城、北臺灣、六堆等不同地域；第五，信仰與記憶研究，關心義民廟、義民爺、客家認同、閩客情結和歷史形象變化。這種分類對你寫</w:t>
      </w:r>
      <w:r>
        <w:t xml:space="preserve"> literature review </w:t>
      </w:r>
      <w:r>
        <w:rPr>
          <w:rFonts w:hint="eastAsia"/>
        </w:rPr>
        <w:t>很有幫助，因為它清楚指出前人研究主要集中在哪些方面。</w:t>
      </w:r>
      <w:r>
        <w:t xml:space="preserve"> ￼</w:t>
      </w:r>
    </w:p>
    <w:p w14:paraId="2170FAE3" w14:textId="77777777" w:rsidR="00333303" w:rsidRDefault="00333303" w:rsidP="00333303">
      <w:pPr>
        <w:pStyle w:val="Heading6"/>
      </w:pPr>
    </w:p>
    <w:p w14:paraId="06558F30" w14:textId="77777777" w:rsidR="00333303" w:rsidRDefault="00333303" w:rsidP="00333303">
      <w:pPr>
        <w:pStyle w:val="Heading6"/>
        <w:rPr>
          <w:rFonts w:hint="eastAsia"/>
        </w:rPr>
      </w:pPr>
      <w:r>
        <w:rPr>
          <w:rFonts w:hint="eastAsia"/>
        </w:rPr>
        <w:t>二十三、對你研究題目的用處</w:t>
      </w:r>
    </w:p>
    <w:p w14:paraId="1B62EB2C" w14:textId="77777777" w:rsidR="00333303" w:rsidRDefault="00333303" w:rsidP="00333303">
      <w:pPr>
        <w:pStyle w:val="Heading6"/>
      </w:pPr>
    </w:p>
    <w:p w14:paraId="3CE4BC72" w14:textId="77777777" w:rsidR="00333303" w:rsidRDefault="00333303" w:rsidP="00333303">
      <w:pPr>
        <w:pStyle w:val="Heading6"/>
        <w:rPr>
          <w:rFonts w:hint="eastAsia"/>
        </w:rPr>
      </w:pPr>
      <w:r>
        <w:rPr>
          <w:rFonts w:hint="eastAsia"/>
        </w:rPr>
        <w:t>對你的研究「資訊延遲與中央集權——以乾隆朝林爽文民變中的官方文書傳遞為例」來說，這篇文章最有用之處，是幫你確認一個研究缺口：現有林爽文事件研究很多，尤其是事件性質、族群關係、義民信仰、軍事戰役、後勤補給、跨海投送和清廷治臺政策，但較少直接以「官方文書傳遞」、「資訊延遲」、「皇帝如何根據延遲軍情作出決策」、「前線將領如何呈報戰況」作為核心問題。換言之，你的研究可以接在軍事史、制度史和清代文書史之間，補充現有研究較少處理的「戰時資訊流動」問題。</w:t>
      </w:r>
    </w:p>
    <w:p w14:paraId="2E1E2381" w14:textId="77777777" w:rsidR="00333303" w:rsidRDefault="00333303" w:rsidP="00333303">
      <w:pPr>
        <w:pStyle w:val="Heading6"/>
      </w:pPr>
    </w:p>
    <w:p w14:paraId="5544C748" w14:textId="77777777" w:rsidR="00333303" w:rsidRDefault="00333303" w:rsidP="00333303">
      <w:pPr>
        <w:pStyle w:val="Heading6"/>
        <w:rPr>
          <w:rFonts w:hint="eastAsia"/>
        </w:rPr>
      </w:pPr>
      <w:r>
        <w:rPr>
          <w:rFonts w:hint="eastAsia"/>
        </w:rPr>
        <w:t>二十四、可以放入你論文的文獻回顧句子</w:t>
      </w:r>
    </w:p>
    <w:p w14:paraId="4A9DF092" w14:textId="77777777" w:rsidR="00333303" w:rsidRDefault="00333303" w:rsidP="00333303">
      <w:pPr>
        <w:pStyle w:val="Heading6"/>
      </w:pPr>
    </w:p>
    <w:p w14:paraId="266A0F65" w14:textId="2822DB98" w:rsidR="00DE33B0" w:rsidRDefault="00333303" w:rsidP="00333303">
      <w:pPr>
        <w:pStyle w:val="Heading6"/>
      </w:pPr>
      <w:r>
        <w:rPr>
          <w:rFonts w:hint="eastAsia"/>
        </w:rPr>
        <w:t>這篇文章可以幫你在文獻回顧中寫出一個很清楚的判斷：既有林爽文事件研究成果豐富，兩岸學界已分別從農民起義、地方社會、族群關係、義民信仰、軍事戰役、跨海投送與清廷治臺政策等角度加以討論；然而，這些研究多集中於事件性質、地方社會結構或戰爭過程，較少以清代官方文書往返、奏摺與上諭的傳遞時間差，以及乾隆皇帝如何在資訊延遲下理解和指揮前線為中心。因此，你的研究可以把林爽文事件放入清代文書制度的動態運作中，分析中央集權在戰時通信條件下的實際限制。</w:t>
      </w:r>
    </w:p>
    <w:p w14:paraId="3E9D5264" w14:textId="48E4AB8E" w:rsidR="00333303" w:rsidRDefault="00333303" w:rsidP="00333303">
      <w:pPr>
        <w:pStyle w:val="Heading6"/>
      </w:pPr>
      <w:r w:rsidRPr="00333303">
        <w:rPr>
          <w:rFonts w:hint="eastAsia"/>
          <w:highlight w:val="yellow"/>
        </w:rPr>
        <w:t>張正田，〈海峽兩岸關於清代臺灣林爽文事件的研究回顧：以專書、期刊論文為中心〉，《漢學研究通訊》，第</w:t>
      </w:r>
      <w:r w:rsidRPr="00333303">
        <w:rPr>
          <w:highlight w:val="yellow"/>
        </w:rPr>
        <w:t>43</w:t>
      </w:r>
      <w:r w:rsidRPr="00333303">
        <w:rPr>
          <w:rFonts w:hint="eastAsia"/>
          <w:highlight w:val="yellow"/>
        </w:rPr>
        <w:t>卷第</w:t>
      </w:r>
      <w:r w:rsidRPr="00333303">
        <w:rPr>
          <w:highlight w:val="yellow"/>
        </w:rPr>
        <w:t>3</w:t>
      </w:r>
      <w:r w:rsidRPr="00333303">
        <w:rPr>
          <w:rFonts w:hint="eastAsia"/>
          <w:highlight w:val="yellow"/>
        </w:rPr>
        <w:t>期，</w:t>
      </w:r>
      <w:r w:rsidRPr="00333303">
        <w:rPr>
          <w:highlight w:val="yellow"/>
        </w:rPr>
        <w:t>2024</w:t>
      </w:r>
      <w:r w:rsidRPr="00333303">
        <w:rPr>
          <w:rFonts w:hint="eastAsia"/>
          <w:highlight w:val="yellow"/>
        </w:rPr>
        <w:t>年</w:t>
      </w:r>
      <w:r w:rsidRPr="00333303">
        <w:rPr>
          <w:highlight w:val="yellow"/>
        </w:rPr>
        <w:t>8</w:t>
      </w:r>
      <w:r w:rsidRPr="00333303">
        <w:rPr>
          <w:rFonts w:hint="eastAsia"/>
          <w:highlight w:val="yellow"/>
        </w:rPr>
        <w:t>月，頁</w:t>
      </w:r>
      <w:r w:rsidRPr="00333303">
        <w:rPr>
          <w:highlight w:val="yellow"/>
        </w:rPr>
        <w:t>13</w:t>
      </w:r>
      <w:r>
        <w:t>–24</w:t>
      </w:r>
      <w:r>
        <w:rPr>
          <w:rFonts w:hint="eastAsia"/>
        </w:rPr>
        <w:t>。</w:t>
      </w:r>
      <w:r>
        <w:t xml:space="preserve"> </w:t>
      </w:r>
    </w:p>
    <w:p w14:paraId="079646DF" w14:textId="77777777" w:rsidR="00333303" w:rsidRDefault="00333303">
      <w:pPr>
        <w:rPr>
          <w:rFonts w:asciiTheme="majorEastAsia" w:eastAsiaTheme="majorEastAsia" w:hAnsiTheme="majorEastAsia" w:cstheme="majorBidi"/>
          <w:iCs/>
          <w:color w:val="000000" w:themeColor="text1"/>
          <w:sz w:val="22"/>
        </w:rPr>
      </w:pPr>
      <w:r>
        <w:br w:type="page"/>
      </w:r>
    </w:p>
    <w:p w14:paraId="052650EA" w14:textId="77777777" w:rsidR="00333303" w:rsidRDefault="00333303" w:rsidP="00333303">
      <w:pPr>
        <w:pStyle w:val="Heading6"/>
        <w:rPr>
          <w:rFonts w:hint="eastAsia"/>
        </w:rPr>
      </w:pPr>
      <w:r>
        <w:rPr>
          <w:rFonts w:hint="eastAsia"/>
        </w:rPr>
        <w:lastRenderedPageBreak/>
        <w:t>「How are 軍事史研究」</w:t>
      </w:r>
    </w:p>
    <w:p w14:paraId="29FACDF7" w14:textId="77777777" w:rsidR="00333303" w:rsidRDefault="00333303" w:rsidP="00333303">
      <w:pPr>
        <w:pStyle w:val="Heading6"/>
      </w:pPr>
    </w:p>
    <w:p w14:paraId="15BC55F9" w14:textId="77777777" w:rsidR="00333303" w:rsidRDefault="00333303" w:rsidP="00333303">
      <w:pPr>
        <w:pStyle w:val="Heading6"/>
        <w:rPr>
          <w:rFonts w:hint="eastAsia"/>
        </w:rPr>
      </w:pPr>
      <w:r>
        <w:rPr>
          <w:rFonts w:hint="eastAsia"/>
        </w:rPr>
        <w:t>簡單說，軍事史研究是林爽文事件研究中相對重要、但仍未完全覆蓋你題目的部分。</w:t>
      </w:r>
    </w:p>
    <w:p w14:paraId="753AF1BE" w14:textId="77777777" w:rsidR="00333303" w:rsidRDefault="00333303" w:rsidP="00333303">
      <w:pPr>
        <w:pStyle w:val="Heading6"/>
        <w:rPr>
          <w:rFonts w:hint="eastAsia"/>
        </w:rPr>
      </w:pPr>
      <w:r>
        <w:rPr>
          <w:rFonts w:hint="eastAsia"/>
        </w:rPr>
        <w:t>這篇回顧指出，兩岸學界都有從軍事史角度研究林爽文事件，但多數集中在戰略、戰役、兵力、港口攻防、跨海投送、軍費與後勤，較少真正處理你關心的文書傳遞、資訊延遲、皇帝決策與前線將領回報之間的時間差。</w:t>
      </w:r>
    </w:p>
    <w:p w14:paraId="71590061" w14:textId="77777777" w:rsidR="00333303" w:rsidRDefault="00333303" w:rsidP="00333303">
      <w:pPr>
        <w:pStyle w:val="Heading6"/>
      </w:pPr>
    </w:p>
    <w:p w14:paraId="7E707AE7" w14:textId="77777777" w:rsidR="00333303" w:rsidRDefault="00333303" w:rsidP="00333303">
      <w:pPr>
        <w:pStyle w:val="Heading6"/>
        <w:rPr>
          <w:rFonts w:hint="eastAsia"/>
        </w:rPr>
      </w:pPr>
      <w:r>
        <w:rPr>
          <w:rFonts w:hint="eastAsia"/>
        </w:rPr>
        <w:t>一、中國大陸方面的軍事史研究</w:t>
      </w:r>
    </w:p>
    <w:p w14:paraId="3C27DEE3" w14:textId="77777777" w:rsidR="00333303" w:rsidRDefault="00333303" w:rsidP="00333303">
      <w:pPr>
        <w:pStyle w:val="Heading6"/>
      </w:pPr>
    </w:p>
    <w:p w14:paraId="609E84C0" w14:textId="77777777" w:rsidR="00333303" w:rsidRDefault="00333303" w:rsidP="00333303">
      <w:pPr>
        <w:pStyle w:val="Heading6"/>
      </w:pPr>
      <w:r>
        <w:rPr>
          <w:rFonts w:hint="eastAsia"/>
        </w:rPr>
        <w:t>中國大陸學界較早的研究，多從清廷如何鎮壓、調兵、用兵的角度切入。例如曹鳳祥〈乾隆帝出兵平定臺灣林爽文起義的戰略〉，重點在分析乾隆帝平定林爽文事件的戰略布局；謝茂發〈簡析乾隆年間林爽文起義時的福建綠營水師〉，則集中討論福建綠營水師在戰事中的軟弱無能；王奇〈清廷鎮壓林爽文起義耗費糧餉數量再討論〉則從糧餉耗費角度重新考證清廷鎮壓事件的軍費問題；沈一鳴、高一銘〈福康安平定林爽文事件中對孫子思想的運用〉則討論福康安在平定事件中如何運用《孫子兵法》思想。</w:t>
      </w:r>
      <w:r>
        <w:t xml:space="preserve"> ￼</w:t>
      </w:r>
    </w:p>
    <w:p w14:paraId="3C57B53B" w14:textId="77777777" w:rsidR="00333303" w:rsidRDefault="00333303" w:rsidP="00333303">
      <w:pPr>
        <w:pStyle w:val="Heading6"/>
      </w:pPr>
    </w:p>
    <w:p w14:paraId="0BD07F77" w14:textId="77777777" w:rsidR="00333303" w:rsidRDefault="00333303" w:rsidP="00333303">
      <w:pPr>
        <w:pStyle w:val="Heading6"/>
        <w:rPr>
          <w:rFonts w:hint="eastAsia"/>
        </w:rPr>
      </w:pPr>
      <w:r>
        <w:rPr>
          <w:rFonts w:hint="eastAsia"/>
        </w:rPr>
        <w:t>二、大陸研究中較接近你題目的，是「跨海投送」研究</w:t>
      </w:r>
    </w:p>
    <w:p w14:paraId="58B6A257" w14:textId="77777777" w:rsidR="00333303" w:rsidRDefault="00333303" w:rsidP="00333303">
      <w:pPr>
        <w:pStyle w:val="Heading6"/>
      </w:pPr>
    </w:p>
    <w:p w14:paraId="717EC097" w14:textId="77777777" w:rsidR="00333303" w:rsidRDefault="00333303" w:rsidP="00333303">
      <w:pPr>
        <w:pStyle w:val="Heading6"/>
      </w:pPr>
      <w:r>
        <w:rPr>
          <w:rFonts w:hint="eastAsia"/>
        </w:rPr>
        <w:t>文章中特別提到李智君〈清代大陸兵力對臺灣的跨海投送——以乾隆朝平定林爽文的戰爭為例〉。這篇研究詳細考證清廷如何把大陸兵力跨海投送到臺灣，並涉及後勤運輸、兵力調動和補給問題。這一類研究和你的題目最接近，因為它已經注意到臺灣戰場的特殊性：清廷不是在內地平亂，而是必須跨越臺灣海峽，將兵力、軍需和命令送到前線。不過，它主要處理的是兵力與後勤的跨海運輸，而不是奏摺、上諭、軍情報告本身的傳遞延遲。</w:t>
      </w:r>
      <w:r>
        <w:t xml:space="preserve"> ￼</w:t>
      </w:r>
    </w:p>
    <w:p w14:paraId="26AF4AA8" w14:textId="77777777" w:rsidR="00333303" w:rsidRDefault="00333303" w:rsidP="00333303">
      <w:pPr>
        <w:pStyle w:val="Heading6"/>
      </w:pPr>
    </w:p>
    <w:p w14:paraId="2DCFD4CA" w14:textId="77777777" w:rsidR="00333303" w:rsidRDefault="00333303" w:rsidP="00333303">
      <w:pPr>
        <w:pStyle w:val="Heading6"/>
        <w:rPr>
          <w:rFonts w:hint="eastAsia"/>
        </w:rPr>
      </w:pPr>
      <w:r>
        <w:rPr>
          <w:rFonts w:hint="eastAsia"/>
        </w:rPr>
        <w:t>三、臺灣方面的軍事史研究更加細緻</w:t>
      </w:r>
    </w:p>
    <w:p w14:paraId="19232758" w14:textId="77777777" w:rsidR="00333303" w:rsidRDefault="00333303" w:rsidP="00333303">
      <w:pPr>
        <w:pStyle w:val="Heading6"/>
      </w:pPr>
    </w:p>
    <w:p w14:paraId="74A92C43" w14:textId="77777777" w:rsidR="00333303" w:rsidRDefault="00333303" w:rsidP="00333303">
      <w:pPr>
        <w:pStyle w:val="Heading6"/>
      </w:pPr>
      <w:r>
        <w:rPr>
          <w:rFonts w:hint="eastAsia"/>
        </w:rPr>
        <w:t>臺灣學界的軍事史研究更偏向具體戰役和地方攻防。許毓良有多篇重要研究，例如〈清代臺灣民變中的港口攻防——以林爽文事件為例〉、〈攻防之戰——林爽文事件中三場在諸羅縣境的重要戰役〉、〈臺灣史上規模最大的戰爭——乾隆朝林爽文事件臨陣人數的討論〉。這些研究分別從港口控制、諸羅戰役、參戰人數和戰爭規模等角度重建林爽文事件的軍事過程。</w:t>
      </w:r>
      <w:r>
        <w:t xml:space="preserve"> ￼</w:t>
      </w:r>
    </w:p>
    <w:p w14:paraId="1914099E" w14:textId="77777777" w:rsidR="00333303" w:rsidRDefault="00333303" w:rsidP="00333303">
      <w:pPr>
        <w:pStyle w:val="Heading6"/>
      </w:pPr>
    </w:p>
    <w:p w14:paraId="30C1AEDE" w14:textId="77777777" w:rsidR="00333303" w:rsidRDefault="00333303" w:rsidP="00333303">
      <w:pPr>
        <w:pStyle w:val="Heading6"/>
        <w:rPr>
          <w:rFonts w:hint="eastAsia"/>
        </w:rPr>
      </w:pPr>
      <w:r>
        <w:rPr>
          <w:rFonts w:hint="eastAsia"/>
        </w:rPr>
        <w:t>四、臺灣軍事史研究常採取「具體戰役」切入</w:t>
      </w:r>
    </w:p>
    <w:p w14:paraId="115E4488" w14:textId="77777777" w:rsidR="00333303" w:rsidRDefault="00333303" w:rsidP="00333303">
      <w:pPr>
        <w:pStyle w:val="Heading6"/>
      </w:pPr>
    </w:p>
    <w:p w14:paraId="6877CCA0" w14:textId="77777777" w:rsidR="00333303" w:rsidRDefault="00333303" w:rsidP="00333303">
      <w:pPr>
        <w:pStyle w:val="Heading6"/>
      </w:pPr>
      <w:r>
        <w:rPr>
          <w:rFonts w:hint="eastAsia"/>
        </w:rPr>
        <w:t>除了許毓良，李天鳴〈林爽文事件中的諸羅戰役〉也從戰爭史角度分析諸羅戰役；吳正龍〈林爽文事件中的彰化戰役——兼論人群對立與官方剿撫策略〉則以彰化戰役為中心，同時討論人群對立與官方剿撫策略。這些研究的優點是能把戰場空間、攻防過程、地方人群力量和官方軍事策略說得很細，對你重建事件時間線很有用。</w:t>
      </w:r>
      <w:r>
        <w:t xml:space="preserve"> ￼</w:t>
      </w:r>
    </w:p>
    <w:p w14:paraId="56F2114E" w14:textId="77777777" w:rsidR="00333303" w:rsidRDefault="00333303" w:rsidP="00333303">
      <w:pPr>
        <w:pStyle w:val="Heading6"/>
      </w:pPr>
    </w:p>
    <w:p w14:paraId="1F8ECEDB" w14:textId="77777777" w:rsidR="00333303" w:rsidRDefault="00333303" w:rsidP="00333303">
      <w:pPr>
        <w:pStyle w:val="Heading6"/>
        <w:rPr>
          <w:rFonts w:hint="eastAsia"/>
        </w:rPr>
      </w:pPr>
      <w:r>
        <w:rPr>
          <w:rFonts w:hint="eastAsia"/>
        </w:rPr>
        <w:t>五、軍事史研究的主要貢獻</w:t>
      </w:r>
    </w:p>
    <w:p w14:paraId="44A26227" w14:textId="77777777" w:rsidR="00333303" w:rsidRDefault="00333303" w:rsidP="00333303">
      <w:pPr>
        <w:pStyle w:val="Heading6"/>
      </w:pPr>
    </w:p>
    <w:p w14:paraId="249C4DA8" w14:textId="77777777" w:rsidR="00333303" w:rsidRDefault="00333303" w:rsidP="00333303">
      <w:pPr>
        <w:pStyle w:val="Heading6"/>
        <w:rPr>
          <w:rFonts w:hint="eastAsia"/>
        </w:rPr>
      </w:pPr>
      <w:r>
        <w:rPr>
          <w:rFonts w:hint="eastAsia"/>
        </w:rPr>
        <w:t>這些軍事史研究的貢獻，主要在於補足傳統政治敘事或族群敘事不足的部分。它們讓我們知道，林爽文事件不是單純的「民變」或「起義」，而是一場涉及多地戰場、港口攻防、跨海調兵、地方義民、綠營水師、官軍失利、後勤補給和前線指揮的大規模戰爭。特別是諸羅、彰化、府城、鹿港、鳳山等地的攻防研究，可以幫你把奏摺和上諭中的軍情報告放回具體戰場脈絡中理解。</w:t>
      </w:r>
    </w:p>
    <w:p w14:paraId="1B5BF78E" w14:textId="77777777" w:rsidR="00333303" w:rsidRDefault="00333303" w:rsidP="00333303">
      <w:pPr>
        <w:pStyle w:val="Heading6"/>
      </w:pPr>
    </w:p>
    <w:p w14:paraId="3234CE0A" w14:textId="77777777" w:rsidR="00333303" w:rsidRDefault="00333303" w:rsidP="00333303">
      <w:pPr>
        <w:pStyle w:val="Heading6"/>
        <w:rPr>
          <w:rFonts w:hint="eastAsia"/>
        </w:rPr>
      </w:pPr>
      <w:r>
        <w:rPr>
          <w:rFonts w:hint="eastAsia"/>
        </w:rPr>
        <w:t>六、軍事史研究的不足</w:t>
      </w:r>
    </w:p>
    <w:p w14:paraId="2ED12C1A" w14:textId="77777777" w:rsidR="00333303" w:rsidRDefault="00333303" w:rsidP="00333303">
      <w:pPr>
        <w:pStyle w:val="Heading6"/>
      </w:pPr>
    </w:p>
    <w:p w14:paraId="2995AC73" w14:textId="77777777" w:rsidR="00333303" w:rsidRDefault="00333303" w:rsidP="00333303">
      <w:pPr>
        <w:pStyle w:val="Heading6"/>
        <w:rPr>
          <w:rFonts w:hint="eastAsia"/>
        </w:rPr>
      </w:pPr>
      <w:r>
        <w:rPr>
          <w:rFonts w:hint="eastAsia"/>
        </w:rPr>
        <w:lastRenderedPageBreak/>
        <w:t>但從你的題目來看，既有軍事史研究仍有一個明顯不足：它們多數關心「戰事如何發生、軍隊如何移動、誰攻誰守、清廷如何調兵、福康安如何取勝」，卻較少把軍事行動與文書資訊流動結合起來分析。換言之，前人研究會告訴你某場戰役何時發生、誰在何地作戰、結果如何；但較少追問：北京是在甚麼時候知道這場戰役的？乾隆收到的是幾天前、幾週前，甚至幾個月前的消息？乾隆的上諭到達前線時，前線局勢是否已經改變？將領是否可能利用這個時間差選擇性呈報？</w:t>
      </w:r>
    </w:p>
    <w:p w14:paraId="6E058ACC" w14:textId="77777777" w:rsidR="00333303" w:rsidRDefault="00333303" w:rsidP="00333303">
      <w:pPr>
        <w:pStyle w:val="Heading6"/>
      </w:pPr>
    </w:p>
    <w:p w14:paraId="65AA97D6" w14:textId="77777777" w:rsidR="00333303" w:rsidRDefault="00333303" w:rsidP="00333303">
      <w:pPr>
        <w:pStyle w:val="Heading6"/>
        <w:rPr>
          <w:rFonts w:hint="eastAsia"/>
        </w:rPr>
      </w:pPr>
      <w:r>
        <w:rPr>
          <w:rFonts w:hint="eastAsia"/>
        </w:rPr>
        <w:t>七、這正是你的研究空間</w:t>
      </w:r>
    </w:p>
    <w:p w14:paraId="5C8FE3F4" w14:textId="77777777" w:rsidR="00333303" w:rsidRDefault="00333303" w:rsidP="00333303">
      <w:pPr>
        <w:pStyle w:val="Heading6"/>
      </w:pPr>
    </w:p>
    <w:p w14:paraId="1F60352C" w14:textId="1728E11C" w:rsidR="00333303" w:rsidRDefault="00333303" w:rsidP="00333303">
      <w:pPr>
        <w:pStyle w:val="Heading6"/>
      </w:pPr>
      <w:r>
        <w:rPr>
          <w:rFonts w:hint="eastAsia"/>
        </w:rPr>
        <w:t>所以，你可以這樣定位：林爽文事件的軍事史研究已經相當豐富，尤其在戰役過程、兵力投送、港口攻防、軍費後勤、官方剿撫策略方面已有成果；然而，現有研究較少從「戰時資訊傳遞」角度，分析奏摺、硃批、廷寄上諭在清廷軍事指揮中的實際作用與限制。你的研究正好可以把軍事史和文書制度史結合起來，追問清代中央集權在戰場資訊延遲下如何運作。</w:t>
      </w:r>
    </w:p>
    <w:p w14:paraId="696DBB6E" w14:textId="399B3893" w:rsidR="00333303" w:rsidRPr="00EB4C82" w:rsidRDefault="00333303" w:rsidP="00EB4C82">
      <w:pPr>
        <w:pStyle w:val="Heading6"/>
      </w:pPr>
      <w:r w:rsidRPr="00333303">
        <w:rPr>
          <w:rFonts w:hint="eastAsia"/>
          <w:highlight w:val="yellow"/>
        </w:rPr>
        <w:t>張正田，〈海峽兩岸關於清代臺灣林爽文事件的研究回顧：以專書、期刊論文為中心〉，《漢學研究通訊》，第</w:t>
      </w:r>
      <w:r w:rsidRPr="00333303">
        <w:rPr>
          <w:highlight w:val="yellow"/>
        </w:rPr>
        <w:t>43</w:t>
      </w:r>
      <w:r w:rsidRPr="00333303">
        <w:rPr>
          <w:rFonts w:hint="eastAsia"/>
          <w:highlight w:val="yellow"/>
        </w:rPr>
        <w:t>卷第</w:t>
      </w:r>
      <w:r w:rsidRPr="00333303">
        <w:rPr>
          <w:highlight w:val="yellow"/>
        </w:rPr>
        <w:t>3</w:t>
      </w:r>
      <w:r w:rsidRPr="00333303">
        <w:rPr>
          <w:rFonts w:hint="eastAsia"/>
          <w:highlight w:val="yellow"/>
        </w:rPr>
        <w:t>期，</w:t>
      </w:r>
      <w:r w:rsidRPr="00333303">
        <w:rPr>
          <w:highlight w:val="yellow"/>
        </w:rPr>
        <w:t>2024</w:t>
      </w:r>
      <w:r w:rsidRPr="00333303">
        <w:rPr>
          <w:rFonts w:hint="eastAsia"/>
          <w:highlight w:val="yellow"/>
        </w:rPr>
        <w:t>年</w:t>
      </w:r>
      <w:r w:rsidRPr="00333303">
        <w:rPr>
          <w:highlight w:val="yellow"/>
        </w:rPr>
        <w:t>8</w:t>
      </w:r>
      <w:r w:rsidRPr="00333303">
        <w:rPr>
          <w:rFonts w:hint="eastAsia"/>
          <w:highlight w:val="yellow"/>
        </w:rPr>
        <w:t>月，頁</w:t>
      </w:r>
      <w:r w:rsidRPr="00333303">
        <w:rPr>
          <w:highlight w:val="yellow"/>
        </w:rPr>
        <w:t>13</w:t>
      </w:r>
      <w:r>
        <w:t>–24</w:t>
      </w:r>
      <w:r>
        <w:rPr>
          <w:rFonts w:hint="eastAsia"/>
        </w:rPr>
        <w:t>。</w:t>
      </w:r>
      <w:r>
        <w:t xml:space="preserve"> </w:t>
      </w:r>
    </w:p>
    <w:p w14:paraId="460529FD" w14:textId="77777777" w:rsidR="00333303" w:rsidRPr="00333303" w:rsidRDefault="00333303" w:rsidP="00333303"/>
    <w:p w14:paraId="0DCAF81E" w14:textId="77777777" w:rsidR="00333303" w:rsidRPr="00333303" w:rsidRDefault="00333303" w:rsidP="00333303"/>
    <w:sectPr w:rsidR="00333303" w:rsidRPr="00333303"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DD"/>
    <w:rsid w:val="000463E8"/>
    <w:rsid w:val="000D1AD9"/>
    <w:rsid w:val="001548DD"/>
    <w:rsid w:val="001E4FBD"/>
    <w:rsid w:val="00247536"/>
    <w:rsid w:val="00333303"/>
    <w:rsid w:val="004D16CC"/>
    <w:rsid w:val="004E2153"/>
    <w:rsid w:val="00B51D8D"/>
    <w:rsid w:val="00B56244"/>
    <w:rsid w:val="00B83FDB"/>
    <w:rsid w:val="00DE33B0"/>
    <w:rsid w:val="00DF0E56"/>
    <w:rsid w:val="00E37EB2"/>
    <w:rsid w:val="00EB4C82"/>
    <w:rsid w:val="00F745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F9C4B3F"/>
  <w15:chartTrackingRefBased/>
  <w15:docId w15:val="{C18B8EB7-10C7-1845-81F1-5582024A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8D"/>
    <w:pPr>
      <w:keepNext/>
      <w:keepLines/>
      <w:spacing w:after="0"/>
      <w:outlineLvl w:val="0"/>
    </w:pPr>
    <w:rPr>
      <w:rFonts w:ascii="PMingLiU" w:eastAsiaTheme="majorEastAsia" w:hAnsi="PMingLiU" w:cstheme="majorBidi"/>
      <w:color w:val="000000" w:themeColor="text1"/>
      <w:sz w:val="22"/>
      <w:szCs w:val="40"/>
    </w:rPr>
  </w:style>
  <w:style w:type="paragraph" w:styleId="Heading2">
    <w:name w:val="heading 2"/>
    <w:basedOn w:val="Normal"/>
    <w:next w:val="Normal"/>
    <w:link w:val="Heading2Char"/>
    <w:uiPriority w:val="9"/>
    <w:unhideWhenUsed/>
    <w:qFormat/>
    <w:rsid w:val="000D1AD9"/>
    <w:pPr>
      <w:keepNext/>
      <w:keepLines/>
      <w:spacing w:after="0"/>
      <w:outlineLvl w:val="1"/>
    </w:pPr>
    <w:rPr>
      <w:rFonts w:ascii="PMingLiU" w:eastAsiaTheme="majorEastAsia" w:hAnsi="PMingLiU" w:cstheme="majorBidi"/>
      <w:color w:val="000000" w:themeColor="text1"/>
      <w:sz w:val="22"/>
      <w:szCs w:val="32"/>
    </w:rPr>
  </w:style>
  <w:style w:type="paragraph" w:styleId="Heading3">
    <w:name w:val="heading 3"/>
    <w:basedOn w:val="Normal"/>
    <w:next w:val="Normal"/>
    <w:link w:val="Heading3Char"/>
    <w:uiPriority w:val="9"/>
    <w:unhideWhenUsed/>
    <w:qFormat/>
    <w:rsid w:val="000D1AD9"/>
    <w:pPr>
      <w:keepNext/>
      <w:keepLines/>
      <w:spacing w:after="0"/>
      <w:outlineLvl w:val="2"/>
    </w:pPr>
    <w:rPr>
      <w:rFonts w:asciiTheme="minorEastAsia" w:eastAsiaTheme="majorEastAsia" w:hAnsiTheme="minorEastAsia" w:cstheme="majorBidi"/>
      <w:color w:val="000000" w:themeColor="text1"/>
      <w:sz w:val="22"/>
      <w:szCs w:val="28"/>
    </w:rPr>
  </w:style>
  <w:style w:type="paragraph" w:styleId="Heading4">
    <w:name w:val="heading 4"/>
    <w:basedOn w:val="Normal"/>
    <w:next w:val="Normal"/>
    <w:link w:val="Heading4Char"/>
    <w:uiPriority w:val="9"/>
    <w:unhideWhenUsed/>
    <w:qFormat/>
    <w:rsid w:val="000D1AD9"/>
    <w:pPr>
      <w:keepNext/>
      <w:keepLines/>
      <w:spacing w:after="0"/>
      <w:outlineLvl w:val="3"/>
    </w:pPr>
    <w:rPr>
      <w:rFonts w:asciiTheme="majorEastAsia" w:eastAsiaTheme="majorEastAsia" w:hAnsiTheme="majorEastAsia" w:cstheme="majorBidi"/>
      <w:iCs/>
      <w:color w:val="000000" w:themeColor="text1"/>
      <w:sz w:val="22"/>
    </w:rPr>
  </w:style>
  <w:style w:type="paragraph" w:styleId="Heading5">
    <w:name w:val="heading 5"/>
    <w:basedOn w:val="Normal"/>
    <w:next w:val="Normal"/>
    <w:link w:val="Heading5Char"/>
    <w:uiPriority w:val="9"/>
    <w:unhideWhenUsed/>
    <w:qFormat/>
    <w:rsid w:val="000D1AD9"/>
    <w:pPr>
      <w:keepNext/>
      <w:keepLines/>
      <w:spacing w:after="0"/>
      <w:outlineLvl w:val="4"/>
    </w:pPr>
    <w:rPr>
      <w:rFonts w:asciiTheme="minorEastAsia" w:eastAsiaTheme="majorEastAsia" w:hAnsiTheme="minorEastAsia" w:cstheme="majorBidi"/>
      <w:color w:val="000000" w:themeColor="text1"/>
      <w:sz w:val="22"/>
    </w:rPr>
  </w:style>
  <w:style w:type="paragraph" w:styleId="Heading6">
    <w:name w:val="heading 6"/>
    <w:basedOn w:val="Normal"/>
    <w:next w:val="Normal"/>
    <w:link w:val="Heading6Char"/>
    <w:uiPriority w:val="9"/>
    <w:unhideWhenUsed/>
    <w:qFormat/>
    <w:rsid w:val="00B51D8D"/>
    <w:pPr>
      <w:keepNext/>
      <w:keepLines/>
      <w:spacing w:after="0"/>
      <w:outlineLvl w:val="5"/>
    </w:pPr>
    <w:rPr>
      <w:rFonts w:asciiTheme="majorEastAsia" w:eastAsiaTheme="majorEastAsia" w:hAnsiTheme="majorEastAsia" w:cstheme="majorBidi"/>
      <w:iCs/>
      <w:color w:val="000000" w:themeColor="text1"/>
      <w:sz w:val="22"/>
    </w:rPr>
  </w:style>
  <w:style w:type="paragraph" w:styleId="Heading7">
    <w:name w:val="heading 7"/>
    <w:basedOn w:val="Normal"/>
    <w:next w:val="Normal"/>
    <w:link w:val="Heading7Char"/>
    <w:uiPriority w:val="9"/>
    <w:semiHidden/>
    <w:unhideWhenUsed/>
    <w:qFormat/>
    <w:rsid w:val="00B51D8D"/>
    <w:pPr>
      <w:keepNext/>
      <w:keepLines/>
      <w:spacing w:after="0"/>
      <w:outlineLvl w:val="6"/>
    </w:pPr>
    <w:rPr>
      <w:rFonts w:asciiTheme="majorEastAsia" w:eastAsiaTheme="majorEastAsia" w:hAnsiTheme="majorEastAsia" w:cstheme="majorBidi"/>
      <w:color w:val="000000" w:themeColor="text1"/>
      <w:sz w:val="22"/>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8D"/>
    <w:rPr>
      <w:rFonts w:ascii="PMingLiU" w:eastAsiaTheme="majorEastAsia" w:hAnsi="PMingLiU" w:cstheme="majorBidi"/>
      <w:color w:val="000000" w:themeColor="text1"/>
      <w:sz w:val="22"/>
      <w:szCs w:val="40"/>
    </w:rPr>
  </w:style>
  <w:style w:type="character" w:customStyle="1" w:styleId="Heading2Char">
    <w:name w:val="Heading 2 Char"/>
    <w:basedOn w:val="DefaultParagraphFont"/>
    <w:link w:val="Heading2"/>
    <w:uiPriority w:val="9"/>
    <w:rsid w:val="000D1AD9"/>
    <w:rPr>
      <w:rFonts w:ascii="PMingLiU" w:eastAsiaTheme="majorEastAsia" w:hAnsi="PMingLiU" w:cstheme="majorBidi"/>
      <w:color w:val="000000" w:themeColor="text1"/>
      <w:sz w:val="22"/>
      <w:szCs w:val="32"/>
    </w:rPr>
  </w:style>
  <w:style w:type="character" w:customStyle="1" w:styleId="Heading3Char">
    <w:name w:val="Heading 3 Char"/>
    <w:basedOn w:val="DefaultParagraphFont"/>
    <w:link w:val="Heading3"/>
    <w:uiPriority w:val="9"/>
    <w:rsid w:val="000D1AD9"/>
    <w:rPr>
      <w:rFonts w:asciiTheme="minorEastAsia" w:eastAsiaTheme="majorEastAsia" w:hAnsiTheme="minorEastAsia" w:cstheme="majorBidi"/>
      <w:color w:val="000000" w:themeColor="text1"/>
      <w:sz w:val="22"/>
      <w:szCs w:val="28"/>
    </w:rPr>
  </w:style>
  <w:style w:type="character" w:customStyle="1" w:styleId="Heading4Char">
    <w:name w:val="Heading 4 Char"/>
    <w:basedOn w:val="DefaultParagraphFont"/>
    <w:link w:val="Heading4"/>
    <w:uiPriority w:val="9"/>
    <w:rsid w:val="000D1AD9"/>
    <w:rPr>
      <w:rFonts w:asciiTheme="majorEastAsia" w:eastAsiaTheme="majorEastAsia" w:hAnsiTheme="majorEastAsia" w:cstheme="majorBidi"/>
      <w:iCs/>
      <w:color w:val="000000" w:themeColor="text1"/>
      <w:sz w:val="22"/>
    </w:rPr>
  </w:style>
  <w:style w:type="character" w:customStyle="1" w:styleId="Heading5Char">
    <w:name w:val="Heading 5 Char"/>
    <w:basedOn w:val="DefaultParagraphFont"/>
    <w:link w:val="Heading5"/>
    <w:uiPriority w:val="9"/>
    <w:rsid w:val="000D1AD9"/>
    <w:rPr>
      <w:rFonts w:asciiTheme="minorEastAsia" w:eastAsiaTheme="majorEastAsia" w:hAnsiTheme="minorEastAsia" w:cstheme="majorBidi"/>
      <w:color w:val="000000" w:themeColor="text1"/>
      <w:sz w:val="22"/>
    </w:rPr>
  </w:style>
  <w:style w:type="character" w:customStyle="1" w:styleId="Heading6Char">
    <w:name w:val="Heading 6 Char"/>
    <w:basedOn w:val="DefaultParagraphFont"/>
    <w:link w:val="Heading6"/>
    <w:uiPriority w:val="9"/>
    <w:rsid w:val="00B51D8D"/>
    <w:rPr>
      <w:rFonts w:asciiTheme="majorEastAsia" w:eastAsiaTheme="majorEastAsia" w:hAnsiTheme="majorEastAsia" w:cstheme="majorBidi"/>
      <w:iCs/>
      <w:color w:val="000000" w:themeColor="text1"/>
      <w:sz w:val="22"/>
    </w:rPr>
  </w:style>
  <w:style w:type="character" w:customStyle="1" w:styleId="Heading7Char">
    <w:name w:val="Heading 7 Char"/>
    <w:basedOn w:val="DefaultParagraphFont"/>
    <w:link w:val="Heading7"/>
    <w:uiPriority w:val="9"/>
    <w:semiHidden/>
    <w:rsid w:val="00B51D8D"/>
    <w:rPr>
      <w:rFonts w:asciiTheme="majorEastAsia" w:eastAsiaTheme="majorEastAsia" w:hAnsiTheme="majorEastAsia" w:cstheme="majorBidi"/>
      <w:color w:val="000000" w:themeColor="text1"/>
      <w:sz w:val="22"/>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0789-C8FC-A147-931A-5976454E6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3</TotalTime>
  <Pages>6</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2</cp:revision>
  <dcterms:created xsi:type="dcterms:W3CDTF">2026-04-27T05:35:00Z</dcterms:created>
  <dcterms:modified xsi:type="dcterms:W3CDTF">2026-04-27T05:50:00Z</dcterms:modified>
</cp:coreProperties>
</file>