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2.0.3</w:t>
      </w:r>
    </w:p>
    <w:p>
      <w:pPr>
        <w:pStyle w:val="Author"/>
      </w:pPr>
      <w:r>
        <w:t xml:space="preserve">CA/Browser</w:t>
      </w:r>
      <w:r>
        <w:t xml:space="preserve"> </w:t>
      </w:r>
      <w:r>
        <w:t xml:space="preserve">Forum</w:t>
      </w:r>
    </w:p>
    <w:p>
      <w:pPr>
        <w:pStyle w:val="Date"/>
      </w:pPr>
      <w:r>
        <w:t xml:space="preserve">15-April-2024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1131"/>
        <w:gridCol w:w="1131"/>
        <w:gridCol w:w="565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4"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7"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4">
        <w:r>
          <w:rPr>
            <w:rStyle w:val="Hyperlink"/>
          </w:rPr>
          <w:t xml:space="preserve">https://www.iana.org/assignments/iana-ipv4-special-registry/iana-ipv4-special-registry.xhtml</w:t>
        </w:r>
      </w:hyperlink>
    </w:p>
    <w:p>
      <w:pPr>
        <w:pStyle w:val="BodyText"/>
      </w:pPr>
      <w:hyperlink r:id="rId45">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6">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7"/>
    <w:bookmarkStart w:id="48"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8"/>
    <w:bookmarkStart w:id="52"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49">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0">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1">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2"/>
    <w:bookmarkStart w:id="53"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3"/>
    <w:bookmarkEnd w:id="54"/>
    <w:bookmarkEnd w:id="55"/>
    <w:bookmarkStart w:id="61"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6"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6"/>
    <w:bookmarkStart w:id="58"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Section 4.2 of a CA’s Certificate Policy and/or Certification Practice Statement SHALL state the CA’s policy or practice on processing CAA Records for Fully-Qualified Domain Names; that policy shall be consistent with these Requirements. It shall clearly specify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7">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8"/>
    <w:bookmarkStart w:id="59"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59"/>
    <w:bookmarkStart w:id="60"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0"/>
    <w:bookmarkEnd w:id="61"/>
    <w:bookmarkStart w:id="119" w:name="X8863bdafba66878afc88bdae54f80c7438f2d24"/>
    <w:p>
      <w:pPr>
        <w:pStyle w:val="Heading1"/>
      </w:pPr>
      <w:r>
        <w:t xml:space="preserve">3. IDENTIFICATION AND AUTHENTICATION</w:t>
      </w:r>
    </w:p>
    <w:bookmarkStart w:id="68" w:name="Xf786f9c7655c91d53d3be6fd5acd158760b27b1"/>
    <w:p>
      <w:pPr>
        <w:pStyle w:val="Heading2"/>
      </w:pPr>
      <w:r>
        <w:t xml:space="preserve">3.1 Naming</w:t>
      </w:r>
    </w:p>
    <w:bookmarkStart w:id="62" w:name="Xed774de95f03f0e31c0c07879236ab1bfe9bd11"/>
    <w:p>
      <w:pPr>
        <w:pStyle w:val="Heading3"/>
      </w:pPr>
      <w:r>
        <w:t xml:space="preserve">3.1.1 Types of names</w:t>
      </w:r>
    </w:p>
    <w:bookmarkEnd w:id="62"/>
    <w:bookmarkStart w:id="63" w:name="X8e7d7751836ece8a884125a2965c5cb9e977707"/>
    <w:p>
      <w:pPr>
        <w:pStyle w:val="Heading3"/>
      </w:pPr>
      <w:r>
        <w:t xml:space="preserve">3.1.2 Need for names to be meaningful</w:t>
      </w:r>
    </w:p>
    <w:bookmarkEnd w:id="63"/>
    <w:bookmarkStart w:id="64" w:name="X9d5c3d11a9b11b814ce0d979d8070e0bb02a176"/>
    <w:p>
      <w:pPr>
        <w:pStyle w:val="Heading3"/>
      </w:pPr>
      <w:r>
        <w:t xml:space="preserve">3.1.3 Anonymity or pseudonymity of subscribers</w:t>
      </w:r>
    </w:p>
    <w:bookmarkEnd w:id="64"/>
    <w:bookmarkStart w:id="65" w:name="Xd75df41192a8b22e4274876ae42e0527837ae10"/>
    <w:p>
      <w:pPr>
        <w:pStyle w:val="Heading3"/>
      </w:pPr>
      <w:r>
        <w:t xml:space="preserve">3.1.4 Rules for interpreting various name forms</w:t>
      </w:r>
    </w:p>
    <w:bookmarkEnd w:id="65"/>
    <w:bookmarkStart w:id="66" w:name="Xa1ac54330933c10cff72bb358a4e8c1feaa6d5a"/>
    <w:p>
      <w:pPr>
        <w:pStyle w:val="Heading3"/>
      </w:pPr>
      <w:r>
        <w:t xml:space="preserve">3.1.5 Uniqueness of names</w:t>
      </w:r>
    </w:p>
    <w:bookmarkEnd w:id="66"/>
    <w:bookmarkStart w:id="67" w:name="X5cf81b88921fe36972782047b214b6fcebb7665"/>
    <w:p>
      <w:pPr>
        <w:pStyle w:val="Heading3"/>
      </w:pPr>
      <w:r>
        <w:t xml:space="preserve">3.1.6 Recognition, authentication, and role of trademarks</w:t>
      </w:r>
    </w:p>
    <w:bookmarkEnd w:id="67"/>
    <w:bookmarkEnd w:id="68"/>
    <w:bookmarkStart w:id="114" w:name="X717456f35997daf739a755e62f9736e96045222"/>
    <w:p>
      <w:pPr>
        <w:pStyle w:val="Heading2"/>
      </w:pPr>
      <w:r>
        <w:t xml:space="preserve">3.2 Initial identity validation</w:t>
      </w:r>
    </w:p>
    <w:bookmarkStart w:id="69" w:name="X58ba043e5104c081012981bc400850498a0ed19"/>
    <w:p>
      <w:pPr>
        <w:pStyle w:val="Heading3"/>
      </w:pPr>
      <w:r>
        <w:t xml:space="preserve">3.2.1 Method to prove possession of private key</w:t>
      </w:r>
    </w:p>
    <w:bookmarkEnd w:id="69"/>
    <w:bookmarkStart w:id="109"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0"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0"/>
    <w:bookmarkStart w:id="71"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1"/>
    <w:bookmarkStart w:id="72"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2"/>
    <w:bookmarkStart w:id="96"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3"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3"/>
    <w:bookmarkStart w:id="74"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4"/>
    <w:bookmarkStart w:id="75"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5"/>
    <w:bookmarkStart w:id="76"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6"/>
    <w:bookmarkStart w:id="77"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7"/>
    <w:bookmarkStart w:id="78"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11.14.3 of the EV Guidelines).</w:t>
      </w:r>
    </w:p>
    <w:p>
      <w:pPr>
        <w:pStyle w:val="FirstParagraph"/>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9"/>
    <w:bookmarkStart w:id="80"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0"/>
    <w:bookmarkStart w:id="81"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1"/>
    <w:bookmarkStart w:id="82"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ab0a44283fc9566d9c672faa597e66dc9c234d6"/>
    <w:p>
      <w:pPr>
        <w:pStyle w:val="Heading5"/>
      </w:pPr>
      <w:r>
        <w:t xml:space="preserve">3.2.2.4.11 Any Other Method</w:t>
      </w:r>
    </w:p>
    <w:p>
      <w:pPr>
        <w:pStyle w:val="FirstParagraph"/>
      </w:pPr>
      <w:r>
        <w:t xml:space="preserve">This method has been retired and MUST NOT be used.</w:t>
      </w:r>
    </w:p>
    <w:bookmarkEnd w:id="83"/>
    <w:bookmarkStart w:id="84"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4"/>
    <w:bookmarkStart w:id="85"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3"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0">
        <w:r>
          <w:rPr>
            <w:rStyle w:val="Hyperlink"/>
          </w:rPr>
          <w:t xml:space="preserve">RFC 7231, Section 6.4</w:t>
        </w:r>
      </w:hyperlink>
      <w:r>
        <w:t xml:space="preserve">, or a 308 HTTP status code response, as defined in</w:t>
      </w:r>
      <w:r>
        <w:t xml:space="preserve"> </w:t>
      </w:r>
      <w:hyperlink r:id="rId91">
        <w:r>
          <w:rPr>
            <w:rStyle w:val="Hyperlink"/>
          </w:rPr>
          <w:t xml:space="preserve">RFC 7538, Section 3</w:t>
        </w:r>
      </w:hyperlink>
      <w:r>
        <w:t xml:space="preserve">. Redirects MUST be to the final value of the Location HTTP response header, as defined in</w:t>
      </w:r>
      <w:r>
        <w:t xml:space="preserve"> </w:t>
      </w:r>
      <w:hyperlink r:id="rId92">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0">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3"/>
    <w:bookmarkStart w:id="94"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0">
        <w:r>
          <w:rPr>
            <w:rStyle w:val="Hyperlink"/>
          </w:rPr>
          <w:t xml:space="preserve">RFC 7231, Section 6.4</w:t>
        </w:r>
      </w:hyperlink>
      <w:r>
        <w:t xml:space="preserve">, or a 308 HTTP status code response, as defined in</w:t>
      </w:r>
      <w:r>
        <w:t xml:space="preserve"> </w:t>
      </w:r>
      <w:hyperlink r:id="rId91">
        <w:r>
          <w:rPr>
            <w:rStyle w:val="Hyperlink"/>
          </w:rPr>
          <w:t xml:space="preserve">RFC 7538, Section 3</w:t>
        </w:r>
      </w:hyperlink>
      <w:r>
        <w:t xml:space="preserve">. Redirects MUST be to the final value of the Location HTTP response header, as defined in</w:t>
      </w:r>
      <w:r>
        <w:t xml:space="preserve"> </w:t>
      </w:r>
      <w:hyperlink r:id="rId92">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0">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End w:id="96"/>
    <w:bookmarkStart w:id="104"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7"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bookmarkEnd w:id="97"/>
    <w:bookmarkStart w:id="98"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8"/>
    <w:bookmarkStart w:id="99"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bookmarkEnd w:id="99"/>
    <w:bookmarkStart w:id="100"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0"/>
    <w:bookmarkStart w:id="101"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1"/>
    <w:bookmarkStart w:id="102"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bookmarkEnd w:id="102"/>
    <w:bookmarkStart w:id="103"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bookmarkEnd w:id="103"/>
    <w:bookmarkEnd w:id="104"/>
    <w:bookmarkStart w:id="106"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5">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6"/>
    <w:bookmarkStart w:id="107"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7"/>
    <w:bookmarkStart w:id="108"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numPr>
          <w:ilvl w:val="0"/>
          <w:numId w:val="1024"/>
        </w:numPr>
        <w:pStyle w:val="Compact"/>
      </w:pPr>
      <w:r>
        <w:t xml:space="preserve">For certificates issued prior to July 1, 2021, 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bookmarkEnd w:id="108"/>
    <w:bookmarkEnd w:id="109"/>
    <w:bookmarkStart w:id="110"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0"/>
    <w:bookmarkStart w:id="111" w:name="X90728061f9867a90bf67e006f375b28a50b5101"/>
    <w:p>
      <w:pPr>
        <w:pStyle w:val="Heading3"/>
      </w:pPr>
      <w:r>
        <w:t xml:space="preserve">3.2.4 Non-verified subscriber information</w:t>
      </w:r>
    </w:p>
    <w:bookmarkEnd w:id="111"/>
    <w:bookmarkStart w:id="112"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2"/>
    <w:bookmarkStart w:id="113"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3"/>
    <w:bookmarkEnd w:id="114"/>
    <w:bookmarkStart w:id="117" w:name="X2dc39610f40291f0b430033932a458690ea1a6c"/>
    <w:p>
      <w:pPr>
        <w:pStyle w:val="Heading2"/>
      </w:pPr>
      <w:r>
        <w:t xml:space="preserve">3.3 Identification and authentication for re-key requests</w:t>
      </w:r>
    </w:p>
    <w:bookmarkStart w:id="115" w:name="X7309319f508392d7a7d397072abfa60a59ed0ab"/>
    <w:p>
      <w:pPr>
        <w:pStyle w:val="Heading3"/>
      </w:pPr>
      <w:r>
        <w:t xml:space="preserve">3.3.1 Identification and authentication for routine re-key</w:t>
      </w:r>
    </w:p>
    <w:bookmarkEnd w:id="115"/>
    <w:bookmarkStart w:id="116" w:name="Xb993101357c6a848b62dd30e5cc3cb2965d74e1"/>
    <w:p>
      <w:pPr>
        <w:pStyle w:val="Heading3"/>
      </w:pPr>
      <w:r>
        <w:t xml:space="preserve">3.3.2 Identification and authentication for re-key after revocation</w:t>
      </w:r>
    </w:p>
    <w:bookmarkEnd w:id="116"/>
    <w:bookmarkEnd w:id="117"/>
    <w:bookmarkStart w:id="118" w:name="X47da36e1073ff655233901fdccf3a37574e4dfd"/>
    <w:p>
      <w:pPr>
        <w:pStyle w:val="Heading2"/>
      </w:pPr>
      <w:r>
        <w:t xml:space="preserve">3.4 Identification and authentication for revocation request</w:t>
      </w:r>
    </w:p>
    <w:bookmarkEnd w:id="118"/>
    <w:bookmarkEnd w:id="119"/>
    <w:bookmarkStart w:id="189" w:name="Xe9e11c0b4264065478a4593f971903e94fcbd0a"/>
    <w:p>
      <w:pPr>
        <w:pStyle w:val="Heading1"/>
      </w:pPr>
      <w:r>
        <w:t xml:space="preserve">4. CERTIFICATE LIFE-CYCLE OPERATIONAL REQUIREMENTS</w:t>
      </w:r>
    </w:p>
    <w:bookmarkStart w:id="122" w:name="Xa29494b24bbe73bfe43f57352deb102b29afc14"/>
    <w:p>
      <w:pPr>
        <w:pStyle w:val="Heading2"/>
      </w:pPr>
      <w:r>
        <w:t xml:space="preserve">4.1 Certificate Application</w:t>
      </w:r>
    </w:p>
    <w:bookmarkStart w:id="120" w:name="X54ec4e0eb4b2336ba96ec93d27d2dd054a2f042"/>
    <w:p>
      <w:pPr>
        <w:pStyle w:val="Heading3"/>
      </w:pPr>
      <w:r>
        <w:t xml:space="preserve">4.1.1 Who can submit a certificate application</w:t>
      </w:r>
    </w:p>
    <w:p>
      <w:pPr>
        <w:pStyle w:val="FirstParagraph"/>
      </w:pPr>
      <w:r>
        <w:t xml:space="preserve">No stipulation.</w:t>
      </w:r>
    </w:p>
    <w:bookmarkEnd w:id="120"/>
    <w:bookmarkStart w:id="121"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1"/>
    <w:bookmarkEnd w:id="122"/>
    <w:bookmarkStart w:id="126" w:name="Xa7c8e55a7e2c3216481f8031a91fe70204390ba"/>
    <w:p>
      <w:pPr>
        <w:pStyle w:val="Heading2"/>
      </w:pPr>
      <w:r>
        <w:t xml:space="preserve">4.2 Certificate application processing</w:t>
      </w:r>
    </w:p>
    <w:bookmarkStart w:id="123"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3"/>
    <w:bookmarkStart w:id="124"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4"/>
    <w:bookmarkStart w:id="125" w:name="X4ee8d5897557df2144d5bc05512f68b6c909a8a"/>
    <w:p>
      <w:pPr>
        <w:pStyle w:val="Heading3"/>
      </w:pPr>
      <w:r>
        <w:t xml:space="preserve">4.2.3 Time to process certificate applications</w:t>
      </w:r>
    </w:p>
    <w:p>
      <w:pPr>
        <w:pStyle w:val="FirstParagraph"/>
      </w:pPr>
      <w:r>
        <w:t xml:space="preserve">No stipulation.</w:t>
      </w:r>
    </w:p>
    <w:bookmarkEnd w:id="125"/>
    <w:bookmarkEnd w:id="126"/>
    <w:bookmarkStart w:id="129" w:name="X08a9b2227cd4527f61b1e9cbd74a41596bb500a"/>
    <w:p>
      <w:pPr>
        <w:pStyle w:val="Heading2"/>
      </w:pPr>
      <w:r>
        <w:t xml:space="preserve">4.3 Certificate issuance</w:t>
      </w:r>
    </w:p>
    <w:bookmarkStart w:id="127" w:name="Xc7f9a4dd68eb56059f71a15cdeb0e5b3acfb8f4"/>
    <w:p>
      <w:pPr>
        <w:pStyle w:val="Heading3"/>
      </w:pPr>
      <w:r>
        <w:t xml:space="preserve">4.3.1 CA actions during certificate issuance</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7"/>
    <w:bookmarkStart w:id="128"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28"/>
    <w:bookmarkEnd w:id="129"/>
    <w:bookmarkStart w:id="133" w:name="Xb834c16d38c34ba02522a734ac23dd8e56be47c"/>
    <w:p>
      <w:pPr>
        <w:pStyle w:val="Heading2"/>
      </w:pPr>
      <w:r>
        <w:t xml:space="preserve">4.4 Certificate acceptance</w:t>
      </w:r>
    </w:p>
    <w:bookmarkStart w:id="130" w:name="X2a91c0d7c2b7610768e83ece8f33be9d3e479b1"/>
    <w:p>
      <w:pPr>
        <w:pStyle w:val="Heading3"/>
      </w:pPr>
      <w:r>
        <w:t xml:space="preserve">4.4.1 Conduct constituting certificate acceptance</w:t>
      </w:r>
    </w:p>
    <w:p>
      <w:pPr>
        <w:pStyle w:val="FirstParagraph"/>
      </w:pPr>
      <w:r>
        <w:t xml:space="preserve">No stipulation.</w:t>
      </w:r>
    </w:p>
    <w:bookmarkEnd w:id="130"/>
    <w:bookmarkStart w:id="131" w:name="Xab2e5d29cd3c5f1db6b0f21fd5f3b7f8e46d15c"/>
    <w:p>
      <w:pPr>
        <w:pStyle w:val="Heading3"/>
      </w:pPr>
      <w:r>
        <w:t xml:space="preserve">4.4.2 Publication of the certificate by the CA</w:t>
      </w:r>
    </w:p>
    <w:p>
      <w:pPr>
        <w:pStyle w:val="FirstParagraph"/>
      </w:pPr>
      <w:r>
        <w:t xml:space="preserve">No stipulation.</w:t>
      </w:r>
    </w:p>
    <w:bookmarkEnd w:id="131"/>
    <w:bookmarkStart w:id="132"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2"/>
    <w:bookmarkEnd w:id="133"/>
    <w:bookmarkStart w:id="136" w:name="X38e872b6fc8069e160c14bb81fce20f68efb8b1"/>
    <w:p>
      <w:pPr>
        <w:pStyle w:val="Heading2"/>
      </w:pPr>
      <w:r>
        <w:t xml:space="preserve">4.5 Key pair and certificate usage</w:t>
      </w:r>
    </w:p>
    <w:bookmarkStart w:id="134"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4"/>
    <w:bookmarkStart w:id="135" w:name="Xb1050d63992ad4a88c86320e50fa5163f43a897"/>
    <w:p>
      <w:pPr>
        <w:pStyle w:val="Heading3"/>
      </w:pPr>
      <w:r>
        <w:t xml:space="preserve">4.5.2 Relying party public key and certificate usage</w:t>
      </w:r>
    </w:p>
    <w:p>
      <w:pPr>
        <w:pStyle w:val="FirstParagraph"/>
      </w:pPr>
      <w:r>
        <w:t xml:space="preserve">No stipulation.</w:t>
      </w:r>
    </w:p>
    <w:bookmarkEnd w:id="135"/>
    <w:bookmarkEnd w:id="136"/>
    <w:bookmarkStart w:id="144" w:name="X01b54a9b939d191b3df3b2e092a2330e7dd49a9"/>
    <w:p>
      <w:pPr>
        <w:pStyle w:val="Heading2"/>
      </w:pPr>
      <w:r>
        <w:t xml:space="preserve">4.6 Certificate renewal</w:t>
      </w:r>
    </w:p>
    <w:bookmarkStart w:id="137" w:name="X7cebbb34753a4739bcaab732022df796f28e935"/>
    <w:p>
      <w:pPr>
        <w:pStyle w:val="Heading3"/>
      </w:pPr>
      <w:r>
        <w:t xml:space="preserve">4.6.1 Circumstance for certificate renewal</w:t>
      </w:r>
    </w:p>
    <w:p>
      <w:pPr>
        <w:pStyle w:val="FirstParagraph"/>
      </w:pPr>
      <w:r>
        <w:t xml:space="preserve">No stipulation.</w:t>
      </w:r>
    </w:p>
    <w:bookmarkEnd w:id="137"/>
    <w:bookmarkStart w:id="138" w:name="X61dbbff3245ba448b50e53882159a60e43e4a84"/>
    <w:p>
      <w:pPr>
        <w:pStyle w:val="Heading3"/>
      </w:pPr>
      <w:r>
        <w:t xml:space="preserve">4.6.2 Who may request renewal</w:t>
      </w:r>
    </w:p>
    <w:p>
      <w:pPr>
        <w:pStyle w:val="FirstParagraph"/>
      </w:pPr>
      <w:r>
        <w:t xml:space="preserve">No stipulation.</w:t>
      </w:r>
    </w:p>
    <w:bookmarkEnd w:id="138"/>
    <w:bookmarkStart w:id="139" w:name="Xa197ff0b71b68324850f0cde89b3340750119e7"/>
    <w:p>
      <w:pPr>
        <w:pStyle w:val="Heading3"/>
      </w:pPr>
      <w:r>
        <w:t xml:space="preserve">4.6.3 Processing certificate renewal requests</w:t>
      </w:r>
    </w:p>
    <w:p>
      <w:pPr>
        <w:pStyle w:val="FirstParagraph"/>
      </w:pPr>
      <w:r>
        <w:t xml:space="preserve">No stipulation.</w:t>
      </w:r>
    </w:p>
    <w:bookmarkEnd w:id="139"/>
    <w:bookmarkStart w:id="140" w:name="X732c512a8188e7b744d8a197bd3d4f105ca9730"/>
    <w:p>
      <w:pPr>
        <w:pStyle w:val="Heading3"/>
      </w:pPr>
      <w:r>
        <w:t xml:space="preserve">4.6.4 Notification of new certificate issuance to subscriber</w:t>
      </w:r>
    </w:p>
    <w:p>
      <w:pPr>
        <w:pStyle w:val="FirstParagraph"/>
      </w:pPr>
      <w:r>
        <w:t xml:space="preserve">No stipulation.</w:t>
      </w:r>
    </w:p>
    <w:bookmarkEnd w:id="140"/>
    <w:bookmarkStart w:id="141" w:name="Xbc860d6f34b11109f21da59928662408ff47743"/>
    <w:p>
      <w:pPr>
        <w:pStyle w:val="Heading3"/>
      </w:pPr>
      <w:r>
        <w:t xml:space="preserve">4.6.5 Conduct constituting acceptance of a renewal certificate</w:t>
      </w:r>
    </w:p>
    <w:p>
      <w:pPr>
        <w:pStyle w:val="FirstParagraph"/>
      </w:pPr>
      <w:r>
        <w:t xml:space="preserve">No stipulation.</w:t>
      </w:r>
    </w:p>
    <w:bookmarkEnd w:id="141"/>
    <w:bookmarkStart w:id="142" w:name="Xfc4772728cd99f0cc5e26668dfadb81bba90b63"/>
    <w:p>
      <w:pPr>
        <w:pStyle w:val="Heading3"/>
      </w:pPr>
      <w:r>
        <w:t xml:space="preserve">4.6.6 Publication of the renewal certificate by the CA</w:t>
      </w:r>
    </w:p>
    <w:p>
      <w:pPr>
        <w:pStyle w:val="FirstParagraph"/>
      </w:pPr>
      <w:r>
        <w:t xml:space="preserve">No stipulation.</w:t>
      </w:r>
    </w:p>
    <w:bookmarkEnd w:id="142"/>
    <w:bookmarkStart w:id="143"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3"/>
    <w:bookmarkEnd w:id="144"/>
    <w:bookmarkStart w:id="152" w:name="X9de994046b8e62c9854d65c41be231b6d1bb87c"/>
    <w:p>
      <w:pPr>
        <w:pStyle w:val="Heading2"/>
      </w:pPr>
      <w:r>
        <w:t xml:space="preserve">4.7 Certificate re-key</w:t>
      </w:r>
    </w:p>
    <w:bookmarkStart w:id="145" w:name="Xb7982f97f433a35e39e9e7cfb98c95e7e23568c"/>
    <w:p>
      <w:pPr>
        <w:pStyle w:val="Heading3"/>
      </w:pPr>
      <w:r>
        <w:t xml:space="preserve">4.7.1 Circumstance for certificate re-key</w:t>
      </w:r>
    </w:p>
    <w:p>
      <w:pPr>
        <w:pStyle w:val="FirstParagraph"/>
      </w:pPr>
      <w:r>
        <w:t xml:space="preserve">No stipulation.</w:t>
      </w:r>
    </w:p>
    <w:bookmarkEnd w:id="145"/>
    <w:bookmarkStart w:id="146" w:name="Xafd81245adde004535290eafc86ffae57448fa7"/>
    <w:p>
      <w:pPr>
        <w:pStyle w:val="Heading3"/>
      </w:pPr>
      <w:r>
        <w:t xml:space="preserve">4.7.2 Who may request certification of a new public key</w:t>
      </w:r>
    </w:p>
    <w:p>
      <w:pPr>
        <w:pStyle w:val="FirstParagraph"/>
      </w:pPr>
      <w:r>
        <w:t xml:space="preserve">No stipulation.</w:t>
      </w:r>
    </w:p>
    <w:bookmarkEnd w:id="146"/>
    <w:bookmarkStart w:id="147" w:name="X464e37e2d0ccf60ae691df8dfee8b9fa26a2c8a"/>
    <w:p>
      <w:pPr>
        <w:pStyle w:val="Heading3"/>
      </w:pPr>
      <w:r>
        <w:t xml:space="preserve">4.7.3 Processing certificate re-keying requests</w:t>
      </w:r>
    </w:p>
    <w:p>
      <w:pPr>
        <w:pStyle w:val="FirstParagraph"/>
      </w:pPr>
      <w:r>
        <w:t xml:space="preserve">No stipulation.</w:t>
      </w:r>
    </w:p>
    <w:bookmarkEnd w:id="147"/>
    <w:bookmarkStart w:id="148" w:name="Xfeca2c9c95ef2221b0462624c2f32b720be5157"/>
    <w:p>
      <w:pPr>
        <w:pStyle w:val="Heading3"/>
      </w:pPr>
      <w:r>
        <w:t xml:space="preserve">4.7.4 Notification of new certificate issuance to subscriber</w:t>
      </w:r>
    </w:p>
    <w:p>
      <w:pPr>
        <w:pStyle w:val="FirstParagraph"/>
      </w:pPr>
      <w:r>
        <w:t xml:space="preserve">No stipulation.</w:t>
      </w:r>
    </w:p>
    <w:bookmarkEnd w:id="148"/>
    <w:bookmarkStart w:id="149" w:name="X73f13e746763fe2cb7c553081382f3ee49ddfa8"/>
    <w:p>
      <w:pPr>
        <w:pStyle w:val="Heading3"/>
      </w:pPr>
      <w:r>
        <w:t xml:space="preserve">4.7.5 Conduct constituting acceptance of a re-keyed certificate</w:t>
      </w:r>
    </w:p>
    <w:p>
      <w:pPr>
        <w:pStyle w:val="FirstParagraph"/>
      </w:pPr>
      <w:r>
        <w:t xml:space="preserve">No stipulation.</w:t>
      </w:r>
    </w:p>
    <w:bookmarkEnd w:id="149"/>
    <w:bookmarkStart w:id="150" w:name="X1f85955659ee5ac02fea231b82a31fd7f13813a"/>
    <w:p>
      <w:pPr>
        <w:pStyle w:val="Heading3"/>
      </w:pPr>
      <w:r>
        <w:t xml:space="preserve">4.7.6 Publication of the re-keyed certificate by the CA</w:t>
      </w:r>
    </w:p>
    <w:p>
      <w:pPr>
        <w:pStyle w:val="FirstParagraph"/>
      </w:pPr>
      <w:r>
        <w:t xml:space="preserve">No stipulation.</w:t>
      </w:r>
    </w:p>
    <w:bookmarkEnd w:id="150"/>
    <w:bookmarkStart w:id="151"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1"/>
    <w:bookmarkEnd w:id="152"/>
    <w:bookmarkStart w:id="160" w:name="X5e7018f8ff5984cd65bf90a33afb6c43e9b9e29"/>
    <w:p>
      <w:pPr>
        <w:pStyle w:val="Heading2"/>
      </w:pPr>
      <w:r>
        <w:t xml:space="preserve">4.8 Certificate modification</w:t>
      </w:r>
    </w:p>
    <w:bookmarkStart w:id="153" w:name="X31732ff04074613abbdcce455235a504ff0cf96"/>
    <w:p>
      <w:pPr>
        <w:pStyle w:val="Heading3"/>
      </w:pPr>
      <w:r>
        <w:t xml:space="preserve">4.8.1 Circumstance for certificate modification</w:t>
      </w:r>
    </w:p>
    <w:p>
      <w:pPr>
        <w:pStyle w:val="FirstParagraph"/>
      </w:pPr>
      <w:r>
        <w:t xml:space="preserve">No stipulation.</w:t>
      </w:r>
    </w:p>
    <w:bookmarkEnd w:id="153"/>
    <w:bookmarkStart w:id="154" w:name="X0f17450c2c51d51a94d7c5a0fe9b13261d91513"/>
    <w:p>
      <w:pPr>
        <w:pStyle w:val="Heading3"/>
      </w:pPr>
      <w:r>
        <w:t xml:space="preserve">4.8.2 Who may request certificate modification</w:t>
      </w:r>
    </w:p>
    <w:p>
      <w:pPr>
        <w:pStyle w:val="FirstParagraph"/>
      </w:pPr>
      <w:r>
        <w:t xml:space="preserve">No stipulation.</w:t>
      </w:r>
    </w:p>
    <w:bookmarkEnd w:id="154"/>
    <w:bookmarkStart w:id="155" w:name="Xeb636af870360a6299a239bd8ec79796dbcd152"/>
    <w:p>
      <w:pPr>
        <w:pStyle w:val="Heading3"/>
      </w:pPr>
      <w:r>
        <w:t xml:space="preserve">4.8.3 Processing certificate modification requests</w:t>
      </w:r>
    </w:p>
    <w:p>
      <w:pPr>
        <w:pStyle w:val="FirstParagraph"/>
      </w:pPr>
      <w:r>
        <w:t xml:space="preserve">No stipulation.</w:t>
      </w:r>
    </w:p>
    <w:bookmarkEnd w:id="155"/>
    <w:bookmarkStart w:id="156" w:name="Xb0e8e003398f1eadc80fab4fcf4595e6f5990dc"/>
    <w:p>
      <w:pPr>
        <w:pStyle w:val="Heading3"/>
      </w:pPr>
      <w:r>
        <w:t xml:space="preserve">4.8.4 Notification of new certificate issuance to subscriber</w:t>
      </w:r>
    </w:p>
    <w:p>
      <w:pPr>
        <w:pStyle w:val="FirstParagraph"/>
      </w:pPr>
      <w:r>
        <w:t xml:space="preserve">No stipulation.</w:t>
      </w:r>
    </w:p>
    <w:bookmarkEnd w:id="156"/>
    <w:bookmarkStart w:id="157" w:name="X5263253b126a76665dc33103a00fc3ca656ab4c"/>
    <w:p>
      <w:pPr>
        <w:pStyle w:val="Heading3"/>
      </w:pPr>
      <w:r>
        <w:t xml:space="preserve">4.8.5 Conduct constituting acceptance of modified certificate</w:t>
      </w:r>
    </w:p>
    <w:p>
      <w:pPr>
        <w:pStyle w:val="FirstParagraph"/>
      </w:pPr>
      <w:r>
        <w:t xml:space="preserve">No stipulation.</w:t>
      </w:r>
    </w:p>
    <w:bookmarkEnd w:id="157"/>
    <w:bookmarkStart w:id="158" w:name="X6ace64e9f40da4e1936da93ff8d276d5a5ab6a0"/>
    <w:p>
      <w:pPr>
        <w:pStyle w:val="Heading3"/>
      </w:pPr>
      <w:r>
        <w:t xml:space="preserve">4.8.6 Publication of the modified certificate by the CA</w:t>
      </w:r>
    </w:p>
    <w:p>
      <w:pPr>
        <w:pStyle w:val="FirstParagraph"/>
      </w:pPr>
      <w:r>
        <w:t xml:space="preserve">No stipulation.</w:t>
      </w:r>
    </w:p>
    <w:bookmarkEnd w:id="158"/>
    <w:bookmarkStart w:id="159"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59"/>
    <w:bookmarkEnd w:id="160"/>
    <w:bookmarkStart w:id="180" w:name="Xf38be0bf7ac63401365906f843401c3792f8611"/>
    <w:p>
      <w:pPr>
        <w:pStyle w:val="Heading2"/>
      </w:pPr>
      <w:r>
        <w:t xml:space="preserve">4.9 Certificate revocation and suspension</w:t>
      </w:r>
    </w:p>
    <w:bookmarkStart w:id="164" w:name="X81033462fbdcc1627a8e1f3242051c861f1ade0"/>
    <w:p>
      <w:pPr>
        <w:pStyle w:val="Heading3"/>
      </w:pPr>
      <w:r>
        <w:t xml:space="preserve">4.9.1 Circumstances for revocation</w:t>
      </w:r>
    </w:p>
    <w:bookmarkStart w:id="162"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7"/>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7"/>
        </w:numPr>
        <w:pStyle w:val="Compact"/>
      </w:pPr>
      <w:r>
        <w:t xml:space="preserve">The Subscriber notifies the CA that the original certificate request was not authorized and does not retroactively grant authorization (CRLReason #9, privilegeWithdrawn);</w:t>
      </w:r>
    </w:p>
    <w:p>
      <w:pPr>
        <w:numPr>
          <w:ilvl w:val="0"/>
          <w:numId w:val="1027"/>
        </w:numPr>
        <w:pStyle w:val="Compact"/>
      </w:pPr>
      <w:r>
        <w:t xml:space="preserve">The CA obtains evidence that the Subscriber’s Private Key corresponding to the Public Key in the Certificate suffered a Key Compromise (CRLReason #1, keyCompromise);</w:t>
      </w:r>
    </w:p>
    <w:p>
      <w:pPr>
        <w:numPr>
          <w:ilvl w:val="0"/>
          <w:numId w:val="1027"/>
        </w:numPr>
        <w:pStyle w:val="Compact"/>
      </w:pPr>
      <w:r>
        <w:t xml:space="preserve">The CA is made aware of a demonstrated or proven method that can easily compute the Subscriber’s Private Key based on the Public Key in the Certificate (such as a Debian weak key, see</w:t>
      </w:r>
      <w:r>
        <w:t xml:space="preserve"> </w:t>
      </w:r>
      <w:hyperlink r:id="rId161">
        <w:r>
          <w:rPr>
            <w:rStyle w:val="Hyperlink"/>
          </w:rPr>
          <w:t xml:space="preserve">https://wiki.debian.org/SSLkeys</w:t>
        </w:r>
      </w:hyperlink>
      <w:r>
        <w:t xml:space="preserve">) (CRLReason #1, keyCompromise);</w:t>
      </w:r>
    </w:p>
    <w:p>
      <w:pPr>
        <w:numPr>
          <w:ilvl w:val="0"/>
          <w:numId w:val="1027"/>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28"/>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28"/>
        </w:numPr>
        <w:pStyle w:val="Compact"/>
      </w:pPr>
      <w:r>
        <w:t xml:space="preserve">The CA obtains evidence that the Certificate was misused (CRLReason #9, privilegeWithdrawn);</w:t>
      </w:r>
    </w:p>
    <w:p>
      <w:pPr>
        <w:numPr>
          <w:ilvl w:val="0"/>
          <w:numId w:val="1028"/>
        </w:numPr>
        <w:pStyle w:val="Compact"/>
      </w:pPr>
      <w:r>
        <w:t xml:space="preserve">The CA is made aware that a Subscriber has violated one or more of its material obligations under the Subscriber Agreement or Terms of Use (CRLReason #9, privilegeWithdrawn);</w:t>
      </w:r>
    </w:p>
    <w:p>
      <w:pPr>
        <w:numPr>
          <w:ilvl w:val="0"/>
          <w:numId w:val="1028"/>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28"/>
        </w:numPr>
        <w:pStyle w:val="Compact"/>
      </w:pPr>
      <w:r>
        <w:t xml:space="preserve">The CA is made aware that a Wildcard Certificate has been used to authenticate a fraudulently misleading subordinate Fully-Qualified Domain Name (CRLReason #9, privilegeWithdrawn);</w:t>
      </w:r>
    </w:p>
    <w:p>
      <w:pPr>
        <w:numPr>
          <w:ilvl w:val="0"/>
          <w:numId w:val="1028"/>
        </w:numPr>
        <w:pStyle w:val="Compact"/>
      </w:pPr>
      <w:r>
        <w:t xml:space="preserve">The CA is made aware of a material change in the information contained in the Certificate (CRLReason #9, privilegeWithdrawn);</w:t>
      </w:r>
    </w:p>
    <w:p>
      <w:pPr>
        <w:numPr>
          <w:ilvl w:val="0"/>
          <w:numId w:val="1028"/>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28"/>
        </w:numPr>
        <w:pStyle w:val="Compact"/>
      </w:pPr>
      <w:r>
        <w:t xml:space="preserve">The CA determines or is made aware that any of the information appearing in the Certificate is inaccurate (CRLReason #9, privilegeWithdrawn);</w:t>
      </w:r>
    </w:p>
    <w:p>
      <w:pPr>
        <w:numPr>
          <w:ilvl w:val="0"/>
          <w:numId w:val="1028"/>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8"/>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28"/>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2"/>
    <w:bookmarkStart w:id="163"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29"/>
        </w:numPr>
        <w:pStyle w:val="Compact"/>
      </w:pPr>
      <w:r>
        <w:t xml:space="preserve">The Subordinate CA requests revocation in writing;</w:t>
      </w:r>
    </w:p>
    <w:p>
      <w:pPr>
        <w:numPr>
          <w:ilvl w:val="0"/>
          <w:numId w:val="1029"/>
        </w:numPr>
        <w:pStyle w:val="Compact"/>
      </w:pPr>
      <w:r>
        <w:t xml:space="preserve">The Subordinate CA notifies the Issuing CA that the original certificate request was not authorized and does not retroactively grant authorization;</w:t>
      </w:r>
    </w:p>
    <w:p>
      <w:pPr>
        <w:numPr>
          <w:ilvl w:val="0"/>
          <w:numId w:val="1029"/>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29"/>
        </w:numPr>
        <w:pStyle w:val="Compact"/>
      </w:pPr>
      <w:r>
        <w:t xml:space="preserve">The Issuing CA obtains evidence that the Certificate was misused;</w:t>
      </w:r>
    </w:p>
    <w:p>
      <w:pPr>
        <w:numPr>
          <w:ilvl w:val="0"/>
          <w:numId w:val="1029"/>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29"/>
        </w:numPr>
        <w:pStyle w:val="Compact"/>
      </w:pPr>
      <w:r>
        <w:t xml:space="preserve">The Issuing CA determines that any of the information appearing in the Certificate is inaccurate or misleading;</w:t>
      </w:r>
    </w:p>
    <w:p>
      <w:pPr>
        <w:numPr>
          <w:ilvl w:val="0"/>
          <w:numId w:val="1029"/>
        </w:numPr>
        <w:pStyle w:val="Compact"/>
      </w:pPr>
      <w:r>
        <w:t xml:space="preserve">The Issuing CA or Subordinate CA ceases operations for any reason and has not made arrangements for another CA to provide revocation support for the Certificate;</w:t>
      </w:r>
    </w:p>
    <w:p>
      <w:pPr>
        <w:numPr>
          <w:ilvl w:val="0"/>
          <w:numId w:val="1029"/>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29"/>
        </w:numPr>
        <w:pStyle w:val="Compact"/>
      </w:pPr>
      <w:r>
        <w:t xml:space="preserve">Revocation is required by the Issuing CA’s Certificate Policy and/or Certification Practice Statement.</w:t>
      </w:r>
    </w:p>
    <w:bookmarkEnd w:id="163"/>
    <w:bookmarkEnd w:id="164"/>
    <w:bookmarkStart w:id="165"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5"/>
    <w:bookmarkStart w:id="166"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66"/>
    <w:bookmarkStart w:id="167" w:name="Xa4b938435dd45f700c996f67e30961dba38e9c5"/>
    <w:p>
      <w:pPr>
        <w:pStyle w:val="Heading3"/>
      </w:pPr>
      <w:r>
        <w:t xml:space="preserve">4.9.4 Revocation request grace period</w:t>
      </w:r>
    </w:p>
    <w:p>
      <w:pPr>
        <w:pStyle w:val="FirstParagraph"/>
      </w:pPr>
      <w:r>
        <w:t xml:space="preserve">No stipulation.</w:t>
      </w:r>
    </w:p>
    <w:bookmarkEnd w:id="167"/>
    <w:bookmarkStart w:id="168"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0"/>
        </w:numPr>
        <w:pStyle w:val="Compact"/>
      </w:pPr>
      <w:r>
        <w:t xml:space="preserve">The nature of the alleged problem (scope, context, severity, magnitude, risk of harm);</w:t>
      </w:r>
    </w:p>
    <w:p>
      <w:pPr>
        <w:numPr>
          <w:ilvl w:val="0"/>
          <w:numId w:val="1030"/>
        </w:numPr>
        <w:pStyle w:val="Compact"/>
      </w:pPr>
      <w:r>
        <w:t xml:space="preserve">The consequences of revocation (direct and collateral impacts to Subscribers and Relying Parties);</w:t>
      </w:r>
    </w:p>
    <w:p>
      <w:pPr>
        <w:numPr>
          <w:ilvl w:val="0"/>
          <w:numId w:val="1030"/>
        </w:numPr>
        <w:pStyle w:val="Compact"/>
      </w:pPr>
      <w:r>
        <w:t xml:space="preserve">The number of Certificate Problem Reports received about a particular Certificate or Subscriber;</w:t>
      </w:r>
    </w:p>
    <w:p>
      <w:pPr>
        <w:numPr>
          <w:ilvl w:val="0"/>
          <w:numId w:val="1030"/>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0"/>
        </w:numPr>
        <w:pStyle w:val="Compact"/>
      </w:pPr>
      <w:r>
        <w:t xml:space="preserve">Relevant legislation.</w:t>
      </w:r>
    </w:p>
    <w:bookmarkEnd w:id="168"/>
    <w:bookmarkStart w:id="169"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69"/>
    <w:bookmarkStart w:id="170"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0"/>
    <w:bookmarkStart w:id="171" w:name="X1dd35edbfc7d82e993bd38bfdb706812e6975fb"/>
    <w:p>
      <w:pPr>
        <w:pStyle w:val="Heading3"/>
      </w:pPr>
      <w:r>
        <w:t xml:space="preserve">4.9.8 Maximum latency for CRLs (if applicable)</w:t>
      </w:r>
    </w:p>
    <w:p>
      <w:pPr>
        <w:pStyle w:val="FirstParagraph"/>
      </w:pPr>
      <w:r>
        <w:t xml:space="preserve">No stipulation.</w:t>
      </w:r>
    </w:p>
    <w:bookmarkEnd w:id="171"/>
    <w:bookmarkStart w:id="172"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1"/>
        </w:numPr>
        <w:pStyle w:val="Compact"/>
      </w:pPr>
      <w:r>
        <w:t xml:space="preserve">Be signed by the CA that issued the Certificates whose revocation status is being checked, or</w:t>
      </w:r>
    </w:p>
    <w:p>
      <w:pPr>
        <w:numPr>
          <w:ilvl w:val="0"/>
          <w:numId w:val="1031"/>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2"/>
    <w:bookmarkStart w:id="173"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2"/>
        </w:numPr>
        <w:pStyle w:val="Compact"/>
      </w:pPr>
      <w:r>
        <w:t xml:space="preserve">OCSP responses MUST have a validity interval greater than or equal to eight hours;</w:t>
      </w:r>
    </w:p>
    <w:p>
      <w:pPr>
        <w:numPr>
          <w:ilvl w:val="0"/>
          <w:numId w:val="1032"/>
        </w:numPr>
        <w:pStyle w:val="Compact"/>
      </w:pPr>
      <w:r>
        <w:t xml:space="preserve">OCSP responses MUST have a validity interval less than or equal to ten days;</w:t>
      </w:r>
    </w:p>
    <w:p>
      <w:pPr>
        <w:numPr>
          <w:ilvl w:val="0"/>
          <w:numId w:val="1032"/>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2"/>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3"/>
        </w:numPr>
      </w:pPr>
      <w:r>
        <w:t xml:space="preserve">The CA SHALL update information provided via an Online Certificate Status Protocol</w:t>
      </w:r>
    </w:p>
    <w:p>
      <w:pPr>
        <w:numPr>
          <w:ilvl w:val="1"/>
          <w:numId w:val="1034"/>
        </w:numPr>
        <w:pStyle w:val="Compact"/>
      </w:pPr>
      <w:r>
        <w:t xml:space="preserve">at least every twelve months; and</w:t>
      </w:r>
    </w:p>
    <w:p>
      <w:pPr>
        <w:numPr>
          <w:ilvl w:val="1"/>
          <w:numId w:val="1034"/>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5"/>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5"/>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6"/>
        </w:numPr>
        <w:pStyle w:val="Compact"/>
      </w:pPr>
      <w:r>
        <w:t xml:space="preserve">the Issuing CA; or</w:t>
      </w:r>
    </w:p>
    <w:p>
      <w:pPr>
        <w:numPr>
          <w:ilvl w:val="1"/>
          <w:numId w:val="1036"/>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5"/>
        </w:numPr>
        <w:pStyle w:val="Compact"/>
      </w:pPr>
      <w:r>
        <w:t xml:space="preserve">“</w:t>
      </w:r>
      <w:r>
        <w:t xml:space="preserve">unused</w:t>
      </w:r>
      <w:r>
        <w:t xml:space="preserve">”</w:t>
      </w:r>
      <w:r>
        <w:t xml:space="preserve"> </w:t>
      </w:r>
      <w:r>
        <w:t xml:space="preserve">if neither of the previous conditions are met.</w:t>
      </w:r>
    </w:p>
    <w:bookmarkEnd w:id="173"/>
    <w:bookmarkStart w:id="174" w:name="X159caba86c5e34ac5519db6dad1389a044aaf9c"/>
    <w:p>
      <w:pPr>
        <w:pStyle w:val="Heading3"/>
      </w:pPr>
      <w:r>
        <w:t xml:space="preserve">4.9.11 Other forms of revocation advertisements available</w:t>
      </w:r>
    </w:p>
    <w:p>
      <w:pPr>
        <w:pStyle w:val="FirstParagraph"/>
      </w:pPr>
      <w:r>
        <w:t xml:space="preserve">No Stipulation.</w:t>
      </w:r>
    </w:p>
    <w:bookmarkEnd w:id="174"/>
    <w:bookmarkStart w:id="175"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5"/>
    <w:bookmarkStart w:id="176"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76"/>
    <w:bookmarkStart w:id="177" w:name="X634640e74c796f108b9f7e257854987bfdbf52a"/>
    <w:p>
      <w:pPr>
        <w:pStyle w:val="Heading3"/>
      </w:pPr>
      <w:r>
        <w:t xml:space="preserve">4.9.14 Who can request suspension</w:t>
      </w:r>
    </w:p>
    <w:p>
      <w:pPr>
        <w:pStyle w:val="FirstParagraph"/>
      </w:pPr>
      <w:r>
        <w:t xml:space="preserve">Not applicable.</w:t>
      </w:r>
    </w:p>
    <w:bookmarkEnd w:id="177"/>
    <w:bookmarkStart w:id="178" w:name="X2ba4b94927e705ec587d2af5455862b45fd59cf"/>
    <w:p>
      <w:pPr>
        <w:pStyle w:val="Heading3"/>
      </w:pPr>
      <w:r>
        <w:t xml:space="preserve">4.9.15 Procedure for suspension request</w:t>
      </w:r>
    </w:p>
    <w:p>
      <w:pPr>
        <w:pStyle w:val="FirstParagraph"/>
      </w:pPr>
      <w:r>
        <w:t xml:space="preserve">Not applicable.</w:t>
      </w:r>
    </w:p>
    <w:bookmarkEnd w:id="178"/>
    <w:bookmarkStart w:id="179" w:name="X61202b656663ae17215b3d61e6ac92e146d9d4a"/>
    <w:p>
      <w:pPr>
        <w:pStyle w:val="Heading3"/>
      </w:pPr>
      <w:r>
        <w:t xml:space="preserve">4.9.16 Limits on suspension period</w:t>
      </w:r>
    </w:p>
    <w:p>
      <w:pPr>
        <w:pStyle w:val="FirstParagraph"/>
      </w:pPr>
      <w:r>
        <w:t xml:space="preserve">Not applicable.</w:t>
      </w:r>
    </w:p>
    <w:bookmarkEnd w:id="179"/>
    <w:bookmarkEnd w:id="180"/>
    <w:bookmarkStart w:id="184" w:name="Xa70078d8319b254d625988ebbdfb3bf82e575bc"/>
    <w:p>
      <w:pPr>
        <w:pStyle w:val="Heading2"/>
      </w:pPr>
      <w:r>
        <w:t xml:space="preserve">4.10 Certificate status services</w:t>
      </w:r>
    </w:p>
    <w:bookmarkStart w:id="181"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1"/>
    <w:bookmarkStart w:id="182"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2"/>
    <w:bookmarkStart w:id="183" w:name="X76ed370bafdde568e95cf29f52b1628a96bba75"/>
    <w:p>
      <w:pPr>
        <w:pStyle w:val="Heading3"/>
      </w:pPr>
      <w:r>
        <w:t xml:space="preserve">4.10.3 Optional features</w:t>
      </w:r>
    </w:p>
    <w:p>
      <w:pPr>
        <w:pStyle w:val="FirstParagraph"/>
      </w:pPr>
      <w:r>
        <w:t xml:space="preserve">No stipulation.</w:t>
      </w:r>
    </w:p>
    <w:bookmarkEnd w:id="183"/>
    <w:bookmarkEnd w:id="184"/>
    <w:bookmarkStart w:id="185" w:name="Xa144f0cfedfe6d44762be1d3e2156fdcff8b232"/>
    <w:p>
      <w:pPr>
        <w:pStyle w:val="Heading2"/>
      </w:pPr>
      <w:r>
        <w:t xml:space="preserve">4.11 End of subscription</w:t>
      </w:r>
    </w:p>
    <w:p>
      <w:pPr>
        <w:pStyle w:val="FirstParagraph"/>
      </w:pPr>
      <w:r>
        <w:t xml:space="preserve">No stipulation.</w:t>
      </w:r>
    </w:p>
    <w:bookmarkEnd w:id="185"/>
    <w:bookmarkStart w:id="188" w:name="Xbde68fc21e60c0076bdd42ac1c9f5ed935399a5"/>
    <w:p>
      <w:pPr>
        <w:pStyle w:val="Heading2"/>
      </w:pPr>
      <w:r>
        <w:t xml:space="preserve">4.12 Key escrow and recovery</w:t>
      </w:r>
    </w:p>
    <w:bookmarkStart w:id="186" w:name="Xa7e9a1cb3af88bb8e0c211393dcce7c3843a540"/>
    <w:p>
      <w:pPr>
        <w:pStyle w:val="Heading3"/>
      </w:pPr>
      <w:r>
        <w:t xml:space="preserve">4.12.1 Key escrow and recovery policy and practices</w:t>
      </w:r>
    </w:p>
    <w:p>
      <w:pPr>
        <w:pStyle w:val="FirstParagraph"/>
      </w:pPr>
      <w:r>
        <w:t xml:space="preserve">No stipulation.</w:t>
      </w:r>
    </w:p>
    <w:bookmarkEnd w:id="186"/>
    <w:bookmarkStart w:id="187" w:name="X82d14daacd432ce43607e6c91acd160881c08fe"/>
    <w:p>
      <w:pPr>
        <w:pStyle w:val="Heading3"/>
      </w:pPr>
      <w:r>
        <w:t xml:space="preserve">4.12.2 Session key encapsulation and recovery policy and practices</w:t>
      </w:r>
    </w:p>
    <w:p>
      <w:pPr>
        <w:pStyle w:val="FirstParagraph"/>
      </w:pPr>
      <w:r>
        <w:t xml:space="preserve">Not applicable.</w:t>
      </w:r>
    </w:p>
    <w:bookmarkEnd w:id="187"/>
    <w:bookmarkEnd w:id="188"/>
    <w:bookmarkEnd w:id="189"/>
    <w:bookmarkStart w:id="238"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7"/>
        </w:numPr>
        <w:pStyle w:val="Compact"/>
      </w:pPr>
      <w:r>
        <w:t xml:space="preserve">Protect the confidentiality, integrity, and availability of Certificate Data and Certificate Management Processes;</w:t>
      </w:r>
    </w:p>
    <w:p>
      <w:pPr>
        <w:numPr>
          <w:ilvl w:val="0"/>
          <w:numId w:val="1037"/>
        </w:numPr>
        <w:pStyle w:val="Compact"/>
      </w:pPr>
      <w:r>
        <w:t xml:space="preserve">Protect against anticipated threats or hazards to the confidentiality, integrity, and availability of the Certificate Data and Certificate Management Processes;</w:t>
      </w:r>
    </w:p>
    <w:p>
      <w:pPr>
        <w:numPr>
          <w:ilvl w:val="0"/>
          <w:numId w:val="1037"/>
        </w:numPr>
        <w:pStyle w:val="Compact"/>
      </w:pPr>
      <w:r>
        <w:t xml:space="preserve">Protect against unauthorized or unlawful access, use, disclosure, alteration, or destruction of any Certificate Data or Certificate Management Processes;</w:t>
      </w:r>
    </w:p>
    <w:p>
      <w:pPr>
        <w:numPr>
          <w:ilvl w:val="0"/>
          <w:numId w:val="1037"/>
        </w:numPr>
        <w:pStyle w:val="Compact"/>
      </w:pPr>
      <w:r>
        <w:t xml:space="preserve">Protect against accidental loss or destruction of, or damage to, any Certificate Data or Certificate Management Processes; and</w:t>
      </w:r>
    </w:p>
    <w:p>
      <w:pPr>
        <w:numPr>
          <w:ilvl w:val="0"/>
          <w:numId w:val="1037"/>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38"/>
        </w:numPr>
        <w:pStyle w:val="Compact"/>
      </w:pPr>
      <w:r>
        <w:t xml:space="preserve">physical security and environmental controls;</w:t>
      </w:r>
    </w:p>
    <w:p>
      <w:pPr>
        <w:numPr>
          <w:ilvl w:val="0"/>
          <w:numId w:val="1038"/>
        </w:numPr>
        <w:pStyle w:val="Compact"/>
      </w:pPr>
      <w:r>
        <w:t xml:space="preserve">system integrity controls, including configuration management, integrity maintenance of trusted code, and malware detection/prevention;</w:t>
      </w:r>
    </w:p>
    <w:p>
      <w:pPr>
        <w:numPr>
          <w:ilvl w:val="0"/>
          <w:numId w:val="1038"/>
        </w:numPr>
        <w:pStyle w:val="Compact"/>
      </w:pPr>
      <w:r>
        <w:t xml:space="preserve">network security and firewall management, including port restrictions and IP address filtering;</w:t>
      </w:r>
    </w:p>
    <w:p>
      <w:pPr>
        <w:numPr>
          <w:ilvl w:val="0"/>
          <w:numId w:val="1038"/>
        </w:numPr>
        <w:pStyle w:val="Compact"/>
      </w:pPr>
      <w:r>
        <w:t xml:space="preserve">user management, separate trusted-role assignments, education, awareness, and training; and</w:t>
      </w:r>
    </w:p>
    <w:p>
      <w:pPr>
        <w:numPr>
          <w:ilvl w:val="0"/>
          <w:numId w:val="1038"/>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39"/>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39"/>
        </w:numPr>
        <w:pStyle w:val="Compact"/>
      </w:pPr>
      <w:r>
        <w:t xml:space="preserve">Assesses the likelihood and potential damage of these threats, taking into consideration the sensitivity of the Certificate Data and Certificate Management Processes; and</w:t>
      </w:r>
    </w:p>
    <w:p>
      <w:pPr>
        <w:numPr>
          <w:ilvl w:val="0"/>
          <w:numId w:val="1039"/>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198" w:name="X98d68ee1c7716c1230ed615b6be3050094d2643"/>
    <w:p>
      <w:pPr>
        <w:pStyle w:val="Heading2"/>
      </w:pPr>
      <w:r>
        <w:t xml:space="preserve">5.1 Physical Security Controls</w:t>
      </w:r>
    </w:p>
    <w:bookmarkStart w:id="190" w:name="Xb6f1b5f393cd51c849eb9e2d68b45bf9c49ef23"/>
    <w:p>
      <w:pPr>
        <w:pStyle w:val="Heading3"/>
      </w:pPr>
      <w:r>
        <w:t xml:space="preserve">5.1.1 Site location and construction</w:t>
      </w:r>
    </w:p>
    <w:bookmarkEnd w:id="190"/>
    <w:bookmarkStart w:id="191" w:name="Xd2d5315ecb934ae4f124850c347848bce0c2c34"/>
    <w:p>
      <w:pPr>
        <w:pStyle w:val="Heading3"/>
      </w:pPr>
      <w:r>
        <w:t xml:space="preserve">5.1.2 Physical access</w:t>
      </w:r>
    </w:p>
    <w:bookmarkEnd w:id="191"/>
    <w:bookmarkStart w:id="192" w:name="Xfa25a439327a067d3a343253584ebc6c7253310"/>
    <w:p>
      <w:pPr>
        <w:pStyle w:val="Heading3"/>
      </w:pPr>
      <w:r>
        <w:t xml:space="preserve">5.1.3 Power and air conditioning</w:t>
      </w:r>
    </w:p>
    <w:bookmarkEnd w:id="192"/>
    <w:bookmarkStart w:id="193" w:name="Xc8ebee009600f2c707b9692216007eeb0eccf80"/>
    <w:p>
      <w:pPr>
        <w:pStyle w:val="Heading3"/>
      </w:pPr>
      <w:r>
        <w:t xml:space="preserve">5.1.4 Water exposures</w:t>
      </w:r>
    </w:p>
    <w:bookmarkEnd w:id="193"/>
    <w:bookmarkStart w:id="194" w:name="X754f96b1edfa8eb8313063a0caf050a20f1e80c"/>
    <w:p>
      <w:pPr>
        <w:pStyle w:val="Heading3"/>
      </w:pPr>
      <w:r>
        <w:t xml:space="preserve">5.1.5 Fire prevention and protection</w:t>
      </w:r>
    </w:p>
    <w:bookmarkEnd w:id="194"/>
    <w:bookmarkStart w:id="195" w:name="Xa1b60dba5083fc7b8e8d8c8c2008a8572497ec1"/>
    <w:p>
      <w:pPr>
        <w:pStyle w:val="Heading3"/>
      </w:pPr>
      <w:r>
        <w:t xml:space="preserve">5.1.6 Media storage</w:t>
      </w:r>
    </w:p>
    <w:bookmarkEnd w:id="195"/>
    <w:bookmarkStart w:id="196" w:name="Xe60ea3342689ce44e86d95685de458ba08ec841"/>
    <w:p>
      <w:pPr>
        <w:pStyle w:val="Heading3"/>
      </w:pPr>
      <w:r>
        <w:t xml:space="preserve">5.1.7 Waste disposal</w:t>
      </w:r>
    </w:p>
    <w:bookmarkEnd w:id="196"/>
    <w:bookmarkStart w:id="197" w:name="X73dffd16269dd51c9fb09971352c4c482866837"/>
    <w:p>
      <w:pPr>
        <w:pStyle w:val="Heading3"/>
      </w:pPr>
      <w:r>
        <w:t xml:space="preserve">5.1.8 Off-site backup</w:t>
      </w:r>
    </w:p>
    <w:bookmarkEnd w:id="197"/>
    <w:bookmarkEnd w:id="198"/>
    <w:bookmarkStart w:id="203" w:name="X4ee70fc9f8617992352a5bd4c46928f0d96bd32"/>
    <w:p>
      <w:pPr>
        <w:pStyle w:val="Heading2"/>
      </w:pPr>
      <w:r>
        <w:t xml:space="preserve">5.2 Procedural controls</w:t>
      </w:r>
    </w:p>
    <w:bookmarkStart w:id="199" w:name="Xac9b12537824616ad3034d69e1ef7bb2ac33fda"/>
    <w:p>
      <w:pPr>
        <w:pStyle w:val="Heading3"/>
      </w:pPr>
      <w:r>
        <w:t xml:space="preserve">5.2.1 Trusted roles</w:t>
      </w:r>
    </w:p>
    <w:bookmarkEnd w:id="199"/>
    <w:bookmarkStart w:id="200"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0"/>
    <w:bookmarkStart w:id="201" w:name="X3ce48db9a9d2c8ecad4cdf6a1d3f80cb194e831"/>
    <w:p>
      <w:pPr>
        <w:pStyle w:val="Heading3"/>
      </w:pPr>
      <w:r>
        <w:t xml:space="preserve">5.2.3 Identification and authentication for each role</w:t>
      </w:r>
    </w:p>
    <w:bookmarkEnd w:id="201"/>
    <w:bookmarkStart w:id="202" w:name="X642762ff06462346885bdb8e05a20b23bcbda1e"/>
    <w:p>
      <w:pPr>
        <w:pStyle w:val="Heading3"/>
      </w:pPr>
      <w:r>
        <w:t xml:space="preserve">5.2.4 Roles requiring separation of duties</w:t>
      </w:r>
    </w:p>
    <w:bookmarkEnd w:id="202"/>
    <w:bookmarkEnd w:id="203"/>
    <w:bookmarkStart w:id="212" w:name="X9e6b79f2a3cbdbc85dd8dbc56e6b968b46dcec5"/>
    <w:p>
      <w:pPr>
        <w:pStyle w:val="Heading2"/>
      </w:pPr>
      <w:r>
        <w:t xml:space="preserve">5.3 Personnel controls</w:t>
      </w:r>
    </w:p>
    <w:bookmarkStart w:id="204"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4"/>
    <w:bookmarkStart w:id="205" w:name="Xe7565d9efcd3ec62ca732d69081bf6f62e98d95"/>
    <w:p>
      <w:pPr>
        <w:pStyle w:val="Heading3"/>
      </w:pPr>
      <w:r>
        <w:t xml:space="preserve">5.3.2 Background check procedures</w:t>
      </w:r>
    </w:p>
    <w:bookmarkEnd w:id="205"/>
    <w:bookmarkStart w:id="206"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06"/>
    <w:bookmarkStart w:id="207"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07"/>
    <w:bookmarkStart w:id="208" w:name="Xde38cd455968566caa9184ef24acab8f0d68345"/>
    <w:p>
      <w:pPr>
        <w:pStyle w:val="Heading3"/>
      </w:pPr>
      <w:r>
        <w:t xml:space="preserve">5.3.5 Job rotation frequency and sequence</w:t>
      </w:r>
    </w:p>
    <w:bookmarkEnd w:id="208"/>
    <w:bookmarkStart w:id="209" w:name="Xf6c002936edcd23d608481e9e1dcaee0778724c"/>
    <w:p>
      <w:pPr>
        <w:pStyle w:val="Heading3"/>
      </w:pPr>
      <w:r>
        <w:t xml:space="preserve">5.3.6 Sanctions for unauthorized actions</w:t>
      </w:r>
    </w:p>
    <w:bookmarkEnd w:id="209"/>
    <w:bookmarkStart w:id="210"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0"/>
    <w:bookmarkStart w:id="211" w:name="X2d11dfa0fab276f2c277be99b661a49d44911c3"/>
    <w:p>
      <w:pPr>
        <w:pStyle w:val="Heading3"/>
      </w:pPr>
      <w:r>
        <w:t xml:space="preserve">5.3.8 Documentation supplied to personnel</w:t>
      </w:r>
    </w:p>
    <w:bookmarkEnd w:id="211"/>
    <w:bookmarkEnd w:id="212"/>
    <w:bookmarkStart w:id="222" w:name="X5572b34f1b9fe628192d5ae89bbfcdfea4bedeb"/>
    <w:p>
      <w:pPr>
        <w:pStyle w:val="Heading2"/>
      </w:pPr>
      <w:r>
        <w:t xml:space="preserve">5.4 Audit logging procedures</w:t>
      </w:r>
    </w:p>
    <w:bookmarkStart w:id="214"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0"/>
        </w:numPr>
        <w:pStyle w:val="Compact"/>
      </w:pPr>
      <w:r>
        <w:t xml:space="preserve">CA certificate and key lifecycle events, including:</w:t>
      </w:r>
    </w:p>
    <w:p>
      <w:pPr>
        <w:numPr>
          <w:ilvl w:val="1"/>
          <w:numId w:val="1041"/>
        </w:numPr>
        <w:pStyle w:val="Compact"/>
      </w:pPr>
      <w:r>
        <w:t xml:space="preserve">Key generation, backup, storage, recovery, archival, and destruction;</w:t>
      </w:r>
    </w:p>
    <w:p>
      <w:pPr>
        <w:numPr>
          <w:ilvl w:val="1"/>
          <w:numId w:val="1041"/>
        </w:numPr>
        <w:pStyle w:val="Compact"/>
      </w:pPr>
      <w:r>
        <w:t xml:space="preserve">Certificate requests, renewal, and re-key requests, and revocation;</w:t>
      </w:r>
    </w:p>
    <w:p>
      <w:pPr>
        <w:numPr>
          <w:ilvl w:val="1"/>
          <w:numId w:val="1041"/>
        </w:numPr>
        <w:pStyle w:val="Compact"/>
      </w:pPr>
      <w:r>
        <w:t xml:space="preserve">Approval and rejection of certificate requests;</w:t>
      </w:r>
    </w:p>
    <w:p>
      <w:pPr>
        <w:numPr>
          <w:ilvl w:val="1"/>
          <w:numId w:val="1041"/>
        </w:numPr>
        <w:pStyle w:val="Compact"/>
      </w:pPr>
      <w:r>
        <w:t xml:space="preserve">Cryptographic device lifecycle management events;</w:t>
      </w:r>
    </w:p>
    <w:p>
      <w:pPr>
        <w:numPr>
          <w:ilvl w:val="1"/>
          <w:numId w:val="1041"/>
        </w:numPr>
        <w:pStyle w:val="Compact"/>
      </w:pPr>
      <w:r>
        <w:t xml:space="preserve">Generation of Certificate Revocation Lists;</w:t>
      </w:r>
    </w:p>
    <w:p>
      <w:pPr>
        <w:numPr>
          <w:ilvl w:val="1"/>
          <w:numId w:val="1041"/>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1"/>
        </w:numPr>
        <w:pStyle w:val="Compact"/>
      </w:pPr>
      <w:r>
        <w:t xml:space="preserve">Introduction of new Certificate Profiles and retirement of existing Certificate Profiles.</w:t>
      </w:r>
    </w:p>
    <w:p>
      <w:pPr>
        <w:numPr>
          <w:ilvl w:val="0"/>
          <w:numId w:val="1040"/>
        </w:numPr>
        <w:pStyle w:val="Compact"/>
      </w:pPr>
      <w:r>
        <w:t xml:space="preserve">Subscriber Certificate lifecycle management events, including:</w:t>
      </w:r>
    </w:p>
    <w:p>
      <w:pPr>
        <w:numPr>
          <w:ilvl w:val="1"/>
          <w:numId w:val="1042"/>
        </w:numPr>
        <w:pStyle w:val="Compact"/>
      </w:pPr>
      <w:r>
        <w:t xml:space="preserve">Certificate requests, renewal, and re-key requests, and revocation;</w:t>
      </w:r>
    </w:p>
    <w:p>
      <w:pPr>
        <w:numPr>
          <w:ilvl w:val="1"/>
          <w:numId w:val="1042"/>
        </w:numPr>
        <w:pStyle w:val="Compact"/>
      </w:pPr>
      <w:r>
        <w:t xml:space="preserve">All verification activities stipulated in these Requirements and the CA’s Certification Practice Statement;</w:t>
      </w:r>
    </w:p>
    <w:p>
      <w:pPr>
        <w:numPr>
          <w:ilvl w:val="1"/>
          <w:numId w:val="1042"/>
        </w:numPr>
        <w:pStyle w:val="Compact"/>
      </w:pPr>
      <w:r>
        <w:t xml:space="preserve">Approval and rejection of certificate requests;</w:t>
      </w:r>
    </w:p>
    <w:p>
      <w:pPr>
        <w:numPr>
          <w:ilvl w:val="1"/>
          <w:numId w:val="1042"/>
        </w:numPr>
        <w:pStyle w:val="Compact"/>
      </w:pPr>
      <w:r>
        <w:t xml:space="preserve">Issuance of Certificates;</w:t>
      </w:r>
    </w:p>
    <w:p>
      <w:pPr>
        <w:numPr>
          <w:ilvl w:val="1"/>
          <w:numId w:val="1042"/>
        </w:numPr>
        <w:pStyle w:val="Compact"/>
      </w:pPr>
      <w:r>
        <w:t xml:space="preserve">Generation of Certificate Revocation Lists; and</w:t>
      </w:r>
    </w:p>
    <w:p>
      <w:pPr>
        <w:numPr>
          <w:ilvl w:val="1"/>
          <w:numId w:val="1042"/>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0"/>
          <w:numId w:val="1040"/>
        </w:numPr>
        <w:pStyle w:val="Compact"/>
      </w:pPr>
      <w:r>
        <w:t xml:space="preserve">Security events, including:</w:t>
      </w:r>
    </w:p>
    <w:p>
      <w:pPr>
        <w:numPr>
          <w:ilvl w:val="1"/>
          <w:numId w:val="1043"/>
        </w:numPr>
        <w:pStyle w:val="Compact"/>
      </w:pPr>
      <w:r>
        <w:t xml:space="preserve">Successful and unsuccessful PKI system access attempts;</w:t>
      </w:r>
    </w:p>
    <w:p>
      <w:pPr>
        <w:numPr>
          <w:ilvl w:val="1"/>
          <w:numId w:val="1043"/>
        </w:numPr>
        <w:pStyle w:val="Compact"/>
      </w:pPr>
      <w:r>
        <w:t xml:space="preserve">PKI and security system actions performed;</w:t>
      </w:r>
    </w:p>
    <w:p>
      <w:pPr>
        <w:numPr>
          <w:ilvl w:val="1"/>
          <w:numId w:val="1043"/>
        </w:numPr>
        <w:pStyle w:val="Compact"/>
      </w:pPr>
      <w:r>
        <w:t xml:space="preserve">Security profile changes;</w:t>
      </w:r>
    </w:p>
    <w:p>
      <w:pPr>
        <w:numPr>
          <w:ilvl w:val="1"/>
          <w:numId w:val="1043"/>
        </w:numPr>
        <w:pStyle w:val="Compact"/>
      </w:pPr>
      <w:r>
        <w:t xml:space="preserve">Installation, update and removal of software on a Certificate System;</w:t>
      </w:r>
    </w:p>
    <w:p>
      <w:pPr>
        <w:numPr>
          <w:ilvl w:val="1"/>
          <w:numId w:val="1043"/>
        </w:numPr>
        <w:pStyle w:val="Compact"/>
      </w:pPr>
      <w:r>
        <w:t xml:space="preserve">System crashes, hardware failures, and other anomalies;</w:t>
      </w:r>
    </w:p>
    <w:p>
      <w:pPr>
        <w:numPr>
          <w:ilvl w:val="1"/>
          <w:numId w:val="1043"/>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3"/>
        </w:numPr>
        <w:pStyle w:val="Compact"/>
      </w:pPr>
      <w:r>
        <w:t xml:space="preserve">Entries to and exits from the CA facility.</w:t>
      </w:r>
    </w:p>
    <w:p>
      <w:pPr>
        <w:pStyle w:val="FirstParagraph"/>
      </w:pPr>
      <w:r>
        <w:t xml:space="preserve">Log records MUST include at least the following elements:</w:t>
      </w:r>
    </w:p>
    <w:p>
      <w:pPr>
        <w:numPr>
          <w:ilvl w:val="0"/>
          <w:numId w:val="1044"/>
        </w:numPr>
        <w:pStyle w:val="Compact"/>
      </w:pPr>
      <w:r>
        <w:t xml:space="preserve">Date and time of event;</w:t>
      </w:r>
    </w:p>
    <w:p>
      <w:pPr>
        <w:numPr>
          <w:ilvl w:val="0"/>
          <w:numId w:val="1044"/>
        </w:numPr>
        <w:pStyle w:val="Compact"/>
      </w:pPr>
      <w:r>
        <w:t xml:space="preserve">Identity of the person making the journal record (when applicable); and</w:t>
      </w:r>
    </w:p>
    <w:p>
      <w:pPr>
        <w:numPr>
          <w:ilvl w:val="0"/>
          <w:numId w:val="1044"/>
        </w:numPr>
        <w:pStyle w:val="Compact"/>
      </w:pPr>
      <w:r>
        <w:t xml:space="preserve">Description of the event.</w:t>
      </w:r>
    </w:p>
    <w:bookmarkStart w:id="213"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45"/>
        </w:numPr>
        <w:pStyle w:val="Compact"/>
      </w:pPr>
      <w:r>
        <w:t xml:space="preserve">Successful and unsuccessful login attempts to routers and firewalls; and</w:t>
      </w:r>
    </w:p>
    <w:p>
      <w:pPr>
        <w:numPr>
          <w:ilvl w:val="0"/>
          <w:numId w:val="1045"/>
        </w:numPr>
        <w:pStyle w:val="Compact"/>
      </w:pPr>
      <w:r>
        <w:t xml:space="preserve">Logging of all administrative actions performed on routers and firewalls, including configuration changes, firmware updates, and access control modifications; and</w:t>
      </w:r>
    </w:p>
    <w:p>
      <w:pPr>
        <w:numPr>
          <w:ilvl w:val="0"/>
          <w:numId w:val="1045"/>
        </w:numPr>
        <w:pStyle w:val="Compact"/>
      </w:pPr>
      <w:r>
        <w:t xml:space="preserve">Logging of all changes made to firewall rules, including additions, modifications, and deletions; and</w:t>
      </w:r>
    </w:p>
    <w:p>
      <w:pPr>
        <w:numPr>
          <w:ilvl w:val="0"/>
          <w:numId w:val="1045"/>
        </w:numPr>
        <w:pStyle w:val="Compact"/>
      </w:pPr>
      <w:r>
        <w:t xml:space="preserve">Logging of all system events and errors, including hardware failures, software crashes, and system restarts.</w:t>
      </w:r>
    </w:p>
    <w:bookmarkEnd w:id="213"/>
    <w:bookmarkEnd w:id="214"/>
    <w:bookmarkStart w:id="215" w:name="Xddf03fb0dd0c300b619c3a9029553c55d1c04e8"/>
    <w:p>
      <w:pPr>
        <w:pStyle w:val="Heading3"/>
      </w:pPr>
      <w:r>
        <w:t xml:space="preserve">5.4.2 Frequency of processing audit log</w:t>
      </w:r>
    </w:p>
    <w:bookmarkEnd w:id="215"/>
    <w:bookmarkStart w:id="216"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46"/>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47"/>
        </w:numPr>
        <w:pStyle w:val="Compact"/>
      </w:pPr>
      <w:r>
        <w:t xml:space="preserve">the destruction of the CA Private Key; or</w:t>
      </w:r>
    </w:p>
    <w:p>
      <w:pPr>
        <w:numPr>
          <w:ilvl w:val="1"/>
          <w:numId w:val="1047"/>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46"/>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46"/>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16"/>
    <w:bookmarkStart w:id="217" w:name="X94f212ddc14a93fce9ddbde1c947ee98642cfd6"/>
    <w:p>
      <w:pPr>
        <w:pStyle w:val="Heading3"/>
      </w:pPr>
      <w:r>
        <w:t xml:space="preserve">5.4.4 Protection of audit log</w:t>
      </w:r>
    </w:p>
    <w:bookmarkEnd w:id="217"/>
    <w:bookmarkStart w:id="218" w:name="X84869d9a8072630992dceb41fdfa01401ee4bdc"/>
    <w:p>
      <w:pPr>
        <w:pStyle w:val="Heading3"/>
      </w:pPr>
      <w:r>
        <w:t xml:space="preserve">5.4.5 Audit log backup procedures</w:t>
      </w:r>
    </w:p>
    <w:bookmarkEnd w:id="218"/>
    <w:bookmarkStart w:id="219" w:name="X2ac9315baee4b8d3b2363c8d3b44d7be8853655"/>
    <w:p>
      <w:pPr>
        <w:pStyle w:val="Heading3"/>
      </w:pPr>
      <w:r>
        <w:t xml:space="preserve">5.4.6 Audit collection System (internal vs. external)</w:t>
      </w:r>
    </w:p>
    <w:bookmarkEnd w:id="219"/>
    <w:bookmarkStart w:id="220" w:name="Xf80e13390e35a279fdc01795219604decfe6bf0"/>
    <w:p>
      <w:pPr>
        <w:pStyle w:val="Heading3"/>
      </w:pPr>
      <w:r>
        <w:t xml:space="preserve">5.4.7 Notification to event-causing subject</w:t>
      </w:r>
    </w:p>
    <w:bookmarkEnd w:id="220"/>
    <w:bookmarkStart w:id="221"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48"/>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8"/>
        </w:numPr>
        <w:pStyle w:val="Compact"/>
      </w:pPr>
      <w:r>
        <w:t xml:space="preserve">Assesses the likelihood and potential damage of these threats, taking into consideration the sensitivity of the Certificate Data and Certificate Management Processes; and</w:t>
      </w:r>
    </w:p>
    <w:p>
      <w:pPr>
        <w:numPr>
          <w:ilvl w:val="0"/>
          <w:numId w:val="1048"/>
        </w:numPr>
        <w:pStyle w:val="Compact"/>
      </w:pPr>
      <w:r>
        <w:t xml:space="preserve">Assesses the sufficiency of the policies, procedures, information systems, technology, and other arrangements that the CA has in place to counter such threats.</w:t>
      </w:r>
    </w:p>
    <w:bookmarkEnd w:id="221"/>
    <w:bookmarkEnd w:id="222"/>
    <w:bookmarkStart w:id="230" w:name="Xff6085ba3c36ae2d4809cc2d69c1c0eccaa7945"/>
    <w:p>
      <w:pPr>
        <w:pStyle w:val="Heading2"/>
      </w:pPr>
      <w:r>
        <w:t xml:space="preserve">5.5 Records archival</w:t>
      </w:r>
    </w:p>
    <w:bookmarkStart w:id="223"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3"/>
    <w:bookmarkStart w:id="224"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4"/>
    <w:bookmarkStart w:id="225" w:name="Xa78e96d5834aec9a40b5d7a8284d1222673b7ed"/>
    <w:p>
      <w:pPr>
        <w:pStyle w:val="Heading3"/>
      </w:pPr>
      <w:r>
        <w:t xml:space="preserve">5.5.3 Protection of archive</w:t>
      </w:r>
    </w:p>
    <w:bookmarkEnd w:id="225"/>
    <w:bookmarkStart w:id="226" w:name="X329c5c23c2c5fe8622e62edba3aa48e5da4ebfd"/>
    <w:p>
      <w:pPr>
        <w:pStyle w:val="Heading3"/>
      </w:pPr>
      <w:r>
        <w:t xml:space="preserve">5.5.4 Archive backup procedures</w:t>
      </w:r>
    </w:p>
    <w:bookmarkEnd w:id="226"/>
    <w:bookmarkStart w:id="227" w:name="X78dd9fc21b38310f8673ff7f760b079fb09e07c"/>
    <w:p>
      <w:pPr>
        <w:pStyle w:val="Heading3"/>
      </w:pPr>
      <w:r>
        <w:t xml:space="preserve">5.5.5 Requirements for time-stamping of records</w:t>
      </w:r>
    </w:p>
    <w:bookmarkEnd w:id="227"/>
    <w:bookmarkStart w:id="228" w:name="X9a4b53079fec27f0b2ebff4325ec8ef9743f7a1"/>
    <w:p>
      <w:pPr>
        <w:pStyle w:val="Heading3"/>
      </w:pPr>
      <w:r>
        <w:t xml:space="preserve">5.5.6 Archive collection system (internal or external)</w:t>
      </w:r>
    </w:p>
    <w:bookmarkEnd w:id="228"/>
    <w:bookmarkStart w:id="229" w:name="X7b3e42592a883de73ff2e6afe51eef6f6bad1a1"/>
    <w:p>
      <w:pPr>
        <w:pStyle w:val="Heading3"/>
      </w:pPr>
      <w:r>
        <w:t xml:space="preserve">5.5.7 Procedures to obtain and verify archive information</w:t>
      </w:r>
    </w:p>
    <w:bookmarkEnd w:id="229"/>
    <w:bookmarkEnd w:id="230"/>
    <w:bookmarkStart w:id="231" w:name="Xf5c0c65dec9be3a31cf6df678ff441281445d45"/>
    <w:p>
      <w:pPr>
        <w:pStyle w:val="Heading2"/>
      </w:pPr>
      <w:r>
        <w:t xml:space="preserve">5.6 Key changeover</w:t>
      </w:r>
    </w:p>
    <w:bookmarkEnd w:id="231"/>
    <w:bookmarkStart w:id="236" w:name="X1b38fe0728f1fdaa67d821099eee1943286367d"/>
    <w:p>
      <w:pPr>
        <w:pStyle w:val="Heading2"/>
      </w:pPr>
      <w:r>
        <w:t xml:space="preserve">5.7 Compromise and disaster recovery</w:t>
      </w:r>
    </w:p>
    <w:bookmarkStart w:id="232"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49"/>
        </w:numPr>
        <w:pStyle w:val="Compact"/>
      </w:pPr>
      <w:r>
        <w:t xml:space="preserve">The conditions for activating the plan,</w:t>
      </w:r>
    </w:p>
    <w:p>
      <w:pPr>
        <w:numPr>
          <w:ilvl w:val="0"/>
          <w:numId w:val="1049"/>
        </w:numPr>
        <w:pStyle w:val="Compact"/>
      </w:pPr>
      <w:r>
        <w:t xml:space="preserve">Emergency procedures,</w:t>
      </w:r>
    </w:p>
    <w:p>
      <w:pPr>
        <w:numPr>
          <w:ilvl w:val="0"/>
          <w:numId w:val="1049"/>
        </w:numPr>
        <w:pStyle w:val="Compact"/>
      </w:pPr>
      <w:r>
        <w:t xml:space="preserve">Fallback procedures,</w:t>
      </w:r>
    </w:p>
    <w:p>
      <w:pPr>
        <w:numPr>
          <w:ilvl w:val="0"/>
          <w:numId w:val="1049"/>
        </w:numPr>
        <w:pStyle w:val="Compact"/>
      </w:pPr>
      <w:r>
        <w:t xml:space="preserve">Resumption procedures,</w:t>
      </w:r>
    </w:p>
    <w:p>
      <w:pPr>
        <w:numPr>
          <w:ilvl w:val="0"/>
          <w:numId w:val="1049"/>
        </w:numPr>
        <w:pStyle w:val="Compact"/>
      </w:pPr>
      <w:r>
        <w:t xml:space="preserve">A maintenance schedule for the plan;</w:t>
      </w:r>
    </w:p>
    <w:p>
      <w:pPr>
        <w:numPr>
          <w:ilvl w:val="0"/>
          <w:numId w:val="1049"/>
        </w:numPr>
        <w:pStyle w:val="Compact"/>
      </w:pPr>
      <w:r>
        <w:t xml:space="preserve">Awareness and education requirements;</w:t>
      </w:r>
    </w:p>
    <w:p>
      <w:pPr>
        <w:numPr>
          <w:ilvl w:val="0"/>
          <w:numId w:val="1049"/>
        </w:numPr>
        <w:pStyle w:val="Compact"/>
      </w:pPr>
      <w:r>
        <w:t xml:space="preserve">The responsibilities of the individuals;</w:t>
      </w:r>
    </w:p>
    <w:p>
      <w:pPr>
        <w:numPr>
          <w:ilvl w:val="0"/>
          <w:numId w:val="1049"/>
        </w:numPr>
        <w:pStyle w:val="Compact"/>
      </w:pPr>
      <w:r>
        <w:t xml:space="preserve">Recovery time objective (RTO);</w:t>
      </w:r>
    </w:p>
    <w:p>
      <w:pPr>
        <w:numPr>
          <w:ilvl w:val="0"/>
          <w:numId w:val="1049"/>
        </w:numPr>
        <w:pStyle w:val="Compact"/>
      </w:pPr>
      <w:r>
        <w:t xml:space="preserve">Regular testing of contingency plans.</w:t>
      </w:r>
    </w:p>
    <w:p>
      <w:pPr>
        <w:numPr>
          <w:ilvl w:val="0"/>
          <w:numId w:val="1049"/>
        </w:numPr>
        <w:pStyle w:val="Compact"/>
      </w:pPr>
      <w:r>
        <w:t xml:space="preserve">The CA’s plan to maintain or restore the CA’s business operations in a timely manner following interruption to or failure of critical business processes</w:t>
      </w:r>
    </w:p>
    <w:p>
      <w:pPr>
        <w:numPr>
          <w:ilvl w:val="0"/>
          <w:numId w:val="1049"/>
        </w:numPr>
        <w:pStyle w:val="Compact"/>
      </w:pPr>
      <w:r>
        <w:t xml:space="preserve">A requirement to store critical cryptographic materials (i.e., secure cryptographic device and activation materials) at an alternate location;</w:t>
      </w:r>
    </w:p>
    <w:p>
      <w:pPr>
        <w:numPr>
          <w:ilvl w:val="0"/>
          <w:numId w:val="1049"/>
        </w:numPr>
        <w:pStyle w:val="Compact"/>
      </w:pPr>
      <w:r>
        <w:t xml:space="preserve">What constitutes an acceptable system outage and recovery time</w:t>
      </w:r>
    </w:p>
    <w:p>
      <w:pPr>
        <w:numPr>
          <w:ilvl w:val="0"/>
          <w:numId w:val="1049"/>
        </w:numPr>
        <w:pStyle w:val="Compact"/>
      </w:pPr>
      <w:r>
        <w:t xml:space="preserve">How frequently backup copies of essential business information and software are taken;</w:t>
      </w:r>
    </w:p>
    <w:p>
      <w:pPr>
        <w:numPr>
          <w:ilvl w:val="0"/>
          <w:numId w:val="1049"/>
        </w:numPr>
        <w:pStyle w:val="Compact"/>
      </w:pPr>
      <w:r>
        <w:t xml:space="preserve">The distance of recovery facilities to the CA’s main site; and</w:t>
      </w:r>
    </w:p>
    <w:p>
      <w:pPr>
        <w:numPr>
          <w:ilvl w:val="0"/>
          <w:numId w:val="1049"/>
        </w:numPr>
        <w:pStyle w:val="Compact"/>
      </w:pPr>
      <w:r>
        <w:t xml:space="preserve">Procedures for securing its facility to the extent possible during the period of time following a disaster and prior to restoring a secure environment either at the original or a remote site.</w:t>
      </w:r>
    </w:p>
    <w:bookmarkEnd w:id="232"/>
    <w:bookmarkStart w:id="233" w:name="X5fb307205af3758c8d5ee1ba1f8f30c9831ffb8"/>
    <w:p>
      <w:pPr>
        <w:pStyle w:val="Heading3"/>
      </w:pPr>
      <w:r>
        <w:t xml:space="preserve">5.7.2 Recovery Procedures if Computing resources, software, and/or data are corrupted</w:t>
      </w:r>
    </w:p>
    <w:bookmarkEnd w:id="233"/>
    <w:bookmarkStart w:id="234" w:name="X0bde16ef449c4493f99c274e5cd3208e412ffee"/>
    <w:p>
      <w:pPr>
        <w:pStyle w:val="Heading3"/>
      </w:pPr>
      <w:r>
        <w:t xml:space="preserve">5.7.3 Recovery Procedures after Key Compromise</w:t>
      </w:r>
    </w:p>
    <w:bookmarkEnd w:id="234"/>
    <w:bookmarkStart w:id="235" w:name="X8fcc89b3c07a6ada7111bbb4b39ac17dacc9ffb"/>
    <w:p>
      <w:pPr>
        <w:pStyle w:val="Heading3"/>
      </w:pPr>
      <w:r>
        <w:t xml:space="preserve">5.7.4 Business continuity capabilities after a disaster</w:t>
      </w:r>
    </w:p>
    <w:bookmarkEnd w:id="235"/>
    <w:bookmarkEnd w:id="236"/>
    <w:bookmarkStart w:id="237" w:name="X5426df09f772338eb6fa8dbe321896ec93cde3b"/>
    <w:p>
      <w:pPr>
        <w:pStyle w:val="Heading2"/>
      </w:pPr>
      <w:r>
        <w:t xml:space="preserve">5.8 CA or RA termination</w:t>
      </w:r>
    </w:p>
    <w:bookmarkEnd w:id="237"/>
    <w:bookmarkEnd w:id="238"/>
    <w:bookmarkStart w:id="278" w:name="X0f4a312b6ea95623dbd1449e5842e1ce2dfb0c3"/>
    <w:p>
      <w:pPr>
        <w:pStyle w:val="Heading1"/>
      </w:pPr>
      <w:r>
        <w:t xml:space="preserve">6. TECHNICAL SECURITY CONTROLS</w:t>
      </w:r>
    </w:p>
    <w:bookmarkStart w:id="249" w:name="Xd8a643226c33dc90cd48b3203e3aadd8ac36c37"/>
    <w:p>
      <w:pPr>
        <w:pStyle w:val="Heading2"/>
      </w:pPr>
      <w:r>
        <w:t xml:space="preserve">6.1 Key pair generation and installation</w:t>
      </w:r>
    </w:p>
    <w:bookmarkStart w:id="242" w:name="X12f3290cdba20f36347c5329805670700a16637"/>
    <w:p>
      <w:pPr>
        <w:pStyle w:val="Heading3"/>
      </w:pPr>
      <w:r>
        <w:t xml:space="preserve">6.1.1 Key pair generation</w:t>
      </w:r>
    </w:p>
    <w:bookmarkStart w:id="239"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50"/>
        </w:numPr>
        <w:pStyle w:val="Compact"/>
      </w:pPr>
      <w:r>
        <w:t xml:space="preserve">used as a CA Key Pair for a Root Certificate or</w:t>
      </w:r>
    </w:p>
    <w:p>
      <w:pPr>
        <w:numPr>
          <w:ilvl w:val="0"/>
          <w:numId w:val="1050"/>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1"/>
        </w:numPr>
        <w:pStyle w:val="Compact"/>
      </w:pPr>
      <w:r>
        <w:t xml:space="preserve">prepare and follow a Key Generation Script,</w:t>
      </w:r>
    </w:p>
    <w:p>
      <w:pPr>
        <w:numPr>
          <w:ilvl w:val="0"/>
          <w:numId w:val="1051"/>
        </w:numPr>
        <w:pStyle w:val="Compact"/>
      </w:pPr>
      <w:r>
        <w:t xml:space="preserve">have a Qualified Auditor witness the CA Key Pair generation process or record a video of the entire CA Key Pair generation process, and</w:t>
      </w:r>
    </w:p>
    <w:p>
      <w:pPr>
        <w:numPr>
          <w:ilvl w:val="0"/>
          <w:numId w:val="1051"/>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2"/>
        </w:numPr>
        <w:pStyle w:val="Compact"/>
      </w:pPr>
      <w:r>
        <w:t xml:space="preserve">prepare and follow a Key Generation Script and</w:t>
      </w:r>
    </w:p>
    <w:p>
      <w:pPr>
        <w:numPr>
          <w:ilvl w:val="0"/>
          <w:numId w:val="1052"/>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3"/>
        </w:numPr>
        <w:pStyle w:val="Compact"/>
      </w:pPr>
      <w:r>
        <w:t xml:space="preserve">generate the CA Key Pair in a physically secured environment as described in the CA’s Certificate Policy and/or Certification Practice Statement;</w:t>
      </w:r>
    </w:p>
    <w:p>
      <w:pPr>
        <w:numPr>
          <w:ilvl w:val="0"/>
          <w:numId w:val="1053"/>
        </w:numPr>
        <w:pStyle w:val="Compact"/>
      </w:pPr>
      <w:r>
        <w:t xml:space="preserve">generate the CA Key Pair using personnel in Trusted Roles under the principles of multiple person control and split knowledge;</w:t>
      </w:r>
    </w:p>
    <w:p>
      <w:pPr>
        <w:numPr>
          <w:ilvl w:val="0"/>
          <w:numId w:val="1053"/>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3"/>
        </w:numPr>
        <w:pStyle w:val="Compact"/>
      </w:pPr>
      <w:r>
        <w:t xml:space="preserve">log its CA Key Pair generation activities; and</w:t>
      </w:r>
    </w:p>
    <w:p>
      <w:pPr>
        <w:numPr>
          <w:ilvl w:val="0"/>
          <w:numId w:val="1053"/>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39"/>
    <w:bookmarkStart w:id="240" w:name="Xbda1ba31de541463be6497c054f7654505217bc"/>
    <w:p>
      <w:pPr>
        <w:pStyle w:val="Heading4"/>
      </w:pPr>
      <w:r>
        <w:t xml:space="preserve">6.1.1.2 RA Key Pair Generation</w:t>
      </w:r>
    </w:p>
    <w:bookmarkEnd w:id="240"/>
    <w:bookmarkStart w:id="241"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54"/>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54"/>
        </w:numPr>
        <w:pStyle w:val="Compact"/>
      </w:pPr>
      <w:r>
        <w:t xml:space="preserve">There is clear evidence that the specific method used to generate the Private Key was flawed;</w:t>
      </w:r>
    </w:p>
    <w:p>
      <w:pPr>
        <w:numPr>
          <w:ilvl w:val="0"/>
          <w:numId w:val="1054"/>
        </w:numPr>
        <w:pStyle w:val="Compact"/>
      </w:pPr>
      <w:r>
        <w:t xml:space="preserve">The CA is aware of a demonstrated or proven method that exposes the Applicant’s Private Key to compromise;</w:t>
      </w:r>
    </w:p>
    <w:p>
      <w:pPr>
        <w:numPr>
          <w:ilvl w:val="0"/>
          <w:numId w:val="1054"/>
        </w:numPr>
        <w:pStyle w:val="Compact"/>
      </w:pPr>
      <w:r>
        <w:t xml:space="preserve">The CA has previously been made aware that the Applicant’s Private Key has suffered a Key Compromise, such as through the provisions of</w:t>
      </w:r>
      <w:r>
        <w:t xml:space="preserve"> </w:t>
      </w:r>
      <w:hyperlink w:anchor="X7aa91ce53904697de50e46e95ca7bb22977f206">
        <w:r>
          <w:rPr>
            <w:rStyle w:val="Hyperlink"/>
          </w:rPr>
          <w:t xml:space="preserve">Section 4.9.1.1</w:t>
        </w:r>
      </w:hyperlink>
      <w:r>
        <w:t xml:space="preserve">;</w:t>
      </w:r>
    </w:p>
    <w:p>
      <w:pPr>
        <w:numPr>
          <w:ilvl w:val="0"/>
          <w:numId w:val="1054"/>
        </w:numPr>
        <w:pStyle w:val="Compact"/>
      </w:pPr>
      <w:r>
        <w:t xml:space="preserve">The CA is aware of a demonstrated or proven method to easily compute the Applicant’s Private Key based on the Public Key (such as a Debian weak key, see</w:t>
      </w:r>
      <w:r>
        <w:t xml:space="preserve"> </w:t>
      </w:r>
      <w:hyperlink r:id="rId161">
        <w:r>
          <w:rPr>
            <w:rStyle w:val="Hyperlink"/>
          </w:rPr>
          <w:t xml:space="preserve">https://wiki.debian.org/SSLkeys</w:t>
        </w:r>
      </w:hyperlink>
      <w:r>
        <w:t xml:space="preserve">).</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1"/>
    <w:bookmarkEnd w:id="242"/>
    <w:bookmarkStart w:id="243"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3"/>
    <w:bookmarkStart w:id="244" w:name="X1ef682463e5aa03f416600ae8c8baeec4477da6"/>
    <w:p>
      <w:pPr>
        <w:pStyle w:val="Heading3"/>
      </w:pPr>
      <w:r>
        <w:t xml:space="preserve">6.1.3 Public key delivery to certificate issuer</w:t>
      </w:r>
    </w:p>
    <w:bookmarkEnd w:id="244"/>
    <w:bookmarkStart w:id="245" w:name="X6498bbd610c6366a78bf186b13051bb09665541"/>
    <w:p>
      <w:pPr>
        <w:pStyle w:val="Heading3"/>
      </w:pPr>
      <w:r>
        <w:t xml:space="preserve">6.1.4 CA public key delivery to relying parties</w:t>
      </w:r>
    </w:p>
    <w:bookmarkEnd w:id="245"/>
    <w:bookmarkStart w:id="246" w:name="X0c3917f405f720f56b6c3f29687ef8fb06831c1"/>
    <w:p>
      <w:pPr>
        <w:pStyle w:val="Heading3"/>
      </w:pPr>
      <w:r>
        <w:t xml:space="preserve">6.1.5 Key sizes</w:t>
      </w:r>
    </w:p>
    <w:p>
      <w:pPr>
        <w:pStyle w:val="FirstParagraph"/>
      </w:pPr>
      <w:r>
        <w:t xml:space="preserve">For RSA key pairs the CA SHALL:</w:t>
      </w:r>
    </w:p>
    <w:p>
      <w:pPr>
        <w:numPr>
          <w:ilvl w:val="0"/>
          <w:numId w:val="1055"/>
        </w:numPr>
        <w:pStyle w:val="Compact"/>
      </w:pPr>
      <w:r>
        <w:t xml:space="preserve">Ensure that the modulus size, when encoded, is at least 2048 bits, and;</w:t>
      </w:r>
    </w:p>
    <w:p>
      <w:pPr>
        <w:numPr>
          <w:ilvl w:val="0"/>
          <w:numId w:val="1055"/>
        </w:numPr>
        <w:pStyle w:val="Compact"/>
      </w:pPr>
      <w:r>
        <w:t xml:space="preserve">Ensure that the modulus size, in bits, is evenly divisible by 8.</w:t>
      </w:r>
    </w:p>
    <w:p>
      <w:pPr>
        <w:pStyle w:val="FirstParagraph"/>
      </w:pPr>
      <w:r>
        <w:t xml:space="preserve">For ECDSA key pairs, the CA SHALL:</w:t>
      </w:r>
    </w:p>
    <w:p>
      <w:pPr>
        <w:numPr>
          <w:ilvl w:val="0"/>
          <w:numId w:val="1056"/>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46"/>
    <w:bookmarkStart w:id="247"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47"/>
    <w:bookmarkStart w:id="248"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57"/>
        </w:numPr>
        <w:pStyle w:val="Compact"/>
      </w:pPr>
      <w:r>
        <w:t xml:space="preserve">Self-signed Certificates to represent the Root CA itself;</w:t>
      </w:r>
    </w:p>
    <w:p>
      <w:pPr>
        <w:numPr>
          <w:ilvl w:val="0"/>
          <w:numId w:val="1057"/>
        </w:numPr>
        <w:pStyle w:val="Compact"/>
      </w:pPr>
      <w:r>
        <w:t xml:space="preserve">Certificates for Subordinate CAs and Cross-Certified Subordinate CA Certificates;</w:t>
      </w:r>
    </w:p>
    <w:p>
      <w:pPr>
        <w:numPr>
          <w:ilvl w:val="0"/>
          <w:numId w:val="1057"/>
        </w:numPr>
        <w:pStyle w:val="Compact"/>
      </w:pPr>
      <w:r>
        <w:t xml:space="preserve">Certificates for infrastructure purposes (administrative role certificates, internal CA operational device certificates); and</w:t>
      </w:r>
    </w:p>
    <w:p>
      <w:pPr>
        <w:numPr>
          <w:ilvl w:val="0"/>
          <w:numId w:val="1057"/>
        </w:numPr>
        <w:pStyle w:val="Compact"/>
      </w:pPr>
      <w:r>
        <w:t xml:space="preserve">Certificates for OCSP Response verification.</w:t>
      </w:r>
    </w:p>
    <w:bookmarkEnd w:id="248"/>
    <w:bookmarkEnd w:id="249"/>
    <w:bookmarkStart w:id="261"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50" w:name="X68a39abc270425c04f97d6531374600eb7c1d74"/>
    <w:p>
      <w:pPr>
        <w:pStyle w:val="Heading3"/>
      </w:pPr>
      <w:r>
        <w:t xml:space="preserve">6.2.1 Cryptographic module standards and controls</w:t>
      </w:r>
    </w:p>
    <w:bookmarkEnd w:id="250"/>
    <w:bookmarkStart w:id="251" w:name="Xb4a62a4346c24360b646c84e14d2f564e6a3c41"/>
    <w:p>
      <w:pPr>
        <w:pStyle w:val="Heading3"/>
      </w:pPr>
      <w:r>
        <w:t xml:space="preserve">6.2.2 Private key (n out of m) multi-person control</w:t>
      </w:r>
    </w:p>
    <w:bookmarkEnd w:id="251"/>
    <w:bookmarkStart w:id="252" w:name="X8bc7eca5ba74a1c2225b38c15b16cc7a70f8f4e"/>
    <w:p>
      <w:pPr>
        <w:pStyle w:val="Heading3"/>
      </w:pPr>
      <w:r>
        <w:t xml:space="preserve">6.2.3 Private key escrow</w:t>
      </w:r>
    </w:p>
    <w:bookmarkEnd w:id="252"/>
    <w:bookmarkStart w:id="253"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3"/>
    <w:bookmarkStart w:id="254"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4"/>
    <w:bookmarkStart w:id="255"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5"/>
    <w:bookmarkStart w:id="256"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56"/>
    <w:bookmarkStart w:id="257" w:name="X7a2c15a36f966a27af9ee62ea636ddb82848d39"/>
    <w:p>
      <w:pPr>
        <w:pStyle w:val="Heading3"/>
      </w:pPr>
      <w:r>
        <w:t xml:space="preserve">6.2.8 Activating Private Keys</w:t>
      </w:r>
    </w:p>
    <w:bookmarkEnd w:id="257"/>
    <w:bookmarkStart w:id="258" w:name="X21a31dbf85c98d8f06c390dccb493323c0770cb"/>
    <w:p>
      <w:pPr>
        <w:pStyle w:val="Heading3"/>
      </w:pPr>
      <w:r>
        <w:t xml:space="preserve">6.2.9 Deactivating Private Keys</w:t>
      </w:r>
    </w:p>
    <w:bookmarkEnd w:id="258"/>
    <w:bookmarkStart w:id="259" w:name="X5630ce5bbd0afadeceae428f00ee31b0b6bf473"/>
    <w:p>
      <w:pPr>
        <w:pStyle w:val="Heading3"/>
      </w:pPr>
      <w:r>
        <w:t xml:space="preserve">6.2.10 Destroying Private Keys</w:t>
      </w:r>
    </w:p>
    <w:bookmarkEnd w:id="259"/>
    <w:bookmarkStart w:id="260" w:name="X19fcf750df4f24cc232ac50465de403dd847232"/>
    <w:p>
      <w:pPr>
        <w:pStyle w:val="Heading3"/>
      </w:pPr>
      <w:r>
        <w:t xml:space="preserve">6.2.11 Cryptographic Module Rating</w:t>
      </w:r>
    </w:p>
    <w:bookmarkEnd w:id="260"/>
    <w:bookmarkEnd w:id="261"/>
    <w:bookmarkStart w:id="264" w:name="X5ab8f3c3a6dce3cec1684e8c8b2bf52a9e387e4"/>
    <w:p>
      <w:pPr>
        <w:pStyle w:val="Heading2"/>
      </w:pPr>
      <w:r>
        <w:t xml:space="preserve">6.3 Other aspects of key pair management</w:t>
      </w:r>
    </w:p>
    <w:bookmarkStart w:id="262" w:name="Xae64db4a412b946f1bc338b553316855d5c1242"/>
    <w:p>
      <w:pPr>
        <w:pStyle w:val="Heading3"/>
      </w:pPr>
      <w:r>
        <w:t xml:space="preserve">6.3.1 Public key archival</w:t>
      </w:r>
    </w:p>
    <w:bookmarkEnd w:id="262"/>
    <w:bookmarkStart w:id="263"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3"/>
    <w:bookmarkEnd w:id="264"/>
    <w:bookmarkStart w:id="268" w:name="X0ac44edc618408470532bf5d65ab83a0bdb97eb"/>
    <w:p>
      <w:pPr>
        <w:pStyle w:val="Heading2"/>
      </w:pPr>
      <w:r>
        <w:t xml:space="preserve">6.4 Activation data</w:t>
      </w:r>
    </w:p>
    <w:bookmarkStart w:id="265" w:name="Xf6904f8e94ded1d13f98f58de9461c7b7b0e1cc"/>
    <w:p>
      <w:pPr>
        <w:pStyle w:val="Heading3"/>
      </w:pPr>
      <w:r>
        <w:t xml:space="preserve">6.4.1 Activation data generation and installation</w:t>
      </w:r>
    </w:p>
    <w:bookmarkEnd w:id="265"/>
    <w:bookmarkStart w:id="266" w:name="X47305ab4bee35c7331e2ab3daabc8470519bb8f"/>
    <w:p>
      <w:pPr>
        <w:pStyle w:val="Heading3"/>
      </w:pPr>
      <w:r>
        <w:t xml:space="preserve">6.4.2 Activation data protection</w:t>
      </w:r>
    </w:p>
    <w:bookmarkEnd w:id="266"/>
    <w:bookmarkStart w:id="267" w:name="Xcd03a8edfb70c8912db98299e520d0a128a209d"/>
    <w:p>
      <w:pPr>
        <w:pStyle w:val="Heading3"/>
      </w:pPr>
      <w:r>
        <w:t xml:space="preserve">6.4.3 Other aspects of activation data</w:t>
      </w:r>
    </w:p>
    <w:bookmarkEnd w:id="267"/>
    <w:bookmarkEnd w:id="268"/>
    <w:bookmarkStart w:id="271" w:name="X694a5bc76ac2e22ee2d9d7f6e288b395840c800"/>
    <w:p>
      <w:pPr>
        <w:pStyle w:val="Heading2"/>
      </w:pPr>
      <w:r>
        <w:t xml:space="preserve">6.5 Computer security controls</w:t>
      </w:r>
    </w:p>
    <w:bookmarkStart w:id="269"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69"/>
    <w:bookmarkStart w:id="270" w:name="X9f9a270aa6b4ee86a15c4fa1b919e594b21d013"/>
    <w:p>
      <w:pPr>
        <w:pStyle w:val="Heading3"/>
      </w:pPr>
      <w:r>
        <w:t xml:space="preserve">6.5.2 Computer security rating</w:t>
      </w:r>
    </w:p>
    <w:bookmarkEnd w:id="270"/>
    <w:bookmarkEnd w:id="271"/>
    <w:bookmarkStart w:id="275" w:name="Xaa585178aff06e1acf1e18a11a784252db1f3ad"/>
    <w:p>
      <w:pPr>
        <w:pStyle w:val="Heading2"/>
      </w:pPr>
      <w:r>
        <w:t xml:space="preserve">6.6 Life cycle technical controls</w:t>
      </w:r>
    </w:p>
    <w:bookmarkStart w:id="272" w:name="Xfd25ddf24ddc4e729bd7b6ba0f19cc22a3f04eb"/>
    <w:p>
      <w:pPr>
        <w:pStyle w:val="Heading3"/>
      </w:pPr>
      <w:r>
        <w:t xml:space="preserve">6.6.1 System development controls</w:t>
      </w:r>
    </w:p>
    <w:bookmarkEnd w:id="272"/>
    <w:bookmarkStart w:id="273" w:name="X040f1b7a0297395b06c1959c026dba453f59683"/>
    <w:p>
      <w:pPr>
        <w:pStyle w:val="Heading3"/>
      </w:pPr>
      <w:r>
        <w:t xml:space="preserve">6.6.2 Security management controls</w:t>
      </w:r>
    </w:p>
    <w:bookmarkEnd w:id="273"/>
    <w:bookmarkStart w:id="274" w:name="Xffe126e154b0fd5bfef0d6a5c840f02ba388c3c"/>
    <w:p>
      <w:pPr>
        <w:pStyle w:val="Heading3"/>
      </w:pPr>
      <w:r>
        <w:t xml:space="preserve">6.6.3 Life cycle security controls</w:t>
      </w:r>
    </w:p>
    <w:bookmarkEnd w:id="274"/>
    <w:bookmarkEnd w:id="275"/>
    <w:bookmarkStart w:id="276" w:name="X5f8ed0a1cbf4e59180219d893d8c669895e1221"/>
    <w:p>
      <w:pPr>
        <w:pStyle w:val="Heading2"/>
      </w:pPr>
      <w:r>
        <w:t xml:space="preserve">6.7 Network security controls</w:t>
      </w:r>
    </w:p>
    <w:bookmarkEnd w:id="276"/>
    <w:bookmarkStart w:id="277" w:name="X2a9600ace6db1c0de419e0f9e7befd9854af4c3"/>
    <w:p>
      <w:pPr>
        <w:pStyle w:val="Heading2"/>
      </w:pPr>
      <w:r>
        <w:t xml:space="preserve">6.8 Time-stamping</w:t>
      </w:r>
    </w:p>
    <w:bookmarkEnd w:id="277"/>
    <w:bookmarkEnd w:id="278"/>
    <w:bookmarkStart w:id="411" w:name="X95198f484670bdff8589f31e1566b08426ae7bd"/>
    <w:p>
      <w:pPr>
        <w:pStyle w:val="Heading1"/>
      </w:pPr>
      <w:r>
        <w:t xml:space="preserve">7. CERTIFICATE, CRL, AND OCSP PROFILES</w:t>
      </w:r>
    </w:p>
    <w:bookmarkStart w:id="403"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79" w:name="Xcc483d361fb691755573f3eb2d84e2d91e6df1d"/>
    <w:p>
      <w:pPr>
        <w:pStyle w:val="Heading3"/>
      </w:pPr>
      <w:r>
        <w:t xml:space="preserve">7.1.1 Version number(s)</w:t>
      </w:r>
    </w:p>
    <w:p>
      <w:pPr>
        <w:pStyle w:val="FirstParagraph"/>
      </w:pPr>
      <w:r>
        <w:t xml:space="preserve">Certificates MUST be of type X.509 v3.</w:t>
      </w:r>
    </w:p>
    <w:bookmarkEnd w:id="279"/>
    <w:bookmarkStart w:id="377"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80">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1">
        <w:r>
          <w:rPr>
            <w:rStyle w:val="Hyperlink"/>
          </w:rPr>
          <w:t xml:space="preserve">RFC 5280, Appendix B</w:t>
        </w:r>
      </w:hyperlink>
      <w:r>
        <w:t xml:space="preserve"> </w:t>
      </w:r>
      <w:r>
        <w:t xml:space="preserve">for further issues to be aware of.</w:t>
      </w:r>
    </w:p>
    <w:p>
      <w:pPr>
        <w:numPr>
          <w:ilvl w:val="0"/>
          <w:numId w:val="1058"/>
        </w:numPr>
        <w:pStyle w:val="Compact"/>
      </w:pPr>
      <w:r>
        <w:t xml:space="preserve">CA Certificates</w:t>
      </w:r>
    </w:p>
    <w:p>
      <w:pPr>
        <w:numPr>
          <w:ilvl w:val="1"/>
          <w:numId w:val="1059"/>
        </w:numPr>
        <w:pStyle w:val="Compact"/>
      </w:pPr>
      <w:hyperlink w:anchor="Xdacc159fcd91102443e9f7b27387435a3784564">
        <w:r>
          <w:rPr>
            <w:rStyle w:val="Hyperlink"/>
          </w:rPr>
          <w:t xml:space="preserve">Section 7.1.2.1 - Root CA Certificate Profile</w:t>
        </w:r>
      </w:hyperlink>
    </w:p>
    <w:p>
      <w:pPr>
        <w:numPr>
          <w:ilvl w:val="1"/>
          <w:numId w:val="1059"/>
        </w:numPr>
        <w:pStyle w:val="Compact"/>
      </w:pPr>
      <w:r>
        <w:t xml:space="preserve">Subordinate CA Certificates</w:t>
      </w:r>
    </w:p>
    <w:p>
      <w:pPr>
        <w:numPr>
          <w:ilvl w:val="2"/>
          <w:numId w:val="1060"/>
        </w:numPr>
        <w:pStyle w:val="Compact"/>
      </w:pPr>
      <w:r>
        <w:t xml:space="preserve">Cross Certificates</w:t>
      </w:r>
    </w:p>
    <w:p>
      <w:pPr>
        <w:numPr>
          <w:ilvl w:val="3"/>
          <w:numId w:val="1061"/>
        </w:numPr>
        <w:pStyle w:val="Compact"/>
      </w:pPr>
      <w:hyperlink w:anchor="Xb746bb0b8a47d793259530ec7ac4ab811a8eaa8">
        <w:r>
          <w:rPr>
            <w:rStyle w:val="Hyperlink"/>
          </w:rPr>
          <w:t xml:space="preserve">Section 7.1.2.2 - Cross-Certified Subordinate CA Certificate Profile</w:t>
        </w:r>
      </w:hyperlink>
    </w:p>
    <w:p>
      <w:pPr>
        <w:numPr>
          <w:ilvl w:val="2"/>
          <w:numId w:val="1060"/>
        </w:numPr>
        <w:pStyle w:val="Compact"/>
      </w:pPr>
      <w:r>
        <w:t xml:space="preserve">Technically Constrained CA Certificates</w:t>
      </w:r>
    </w:p>
    <w:p>
      <w:pPr>
        <w:numPr>
          <w:ilvl w:val="3"/>
          <w:numId w:val="1062"/>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2"/>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2"/>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0"/>
        </w:numPr>
        <w:pStyle w:val="Compact"/>
      </w:pPr>
      <w:hyperlink w:anchor="X99197482bfd77aca3a2b561b19fa1ecfd02e70d">
        <w:r>
          <w:rPr>
            <w:rStyle w:val="Hyperlink"/>
          </w:rPr>
          <w:t xml:space="preserve">Section 7.1.2.6 - TLS Subordinate CA Certificate Profile</w:t>
        </w:r>
      </w:hyperlink>
    </w:p>
    <w:p>
      <w:pPr>
        <w:numPr>
          <w:ilvl w:val="0"/>
          <w:numId w:val="1058"/>
        </w:numPr>
        <w:pStyle w:val="Compact"/>
      </w:pPr>
      <w:hyperlink w:anchor="Xcda3b49a670e03c0ddaee43338cd2bee31b9631">
        <w:r>
          <w:rPr>
            <w:rStyle w:val="Hyperlink"/>
          </w:rPr>
          <w:t xml:space="preserve">Section 7.1.2.7 - Subscriber (End-Entity) Certificate Profile</w:t>
        </w:r>
      </w:hyperlink>
    </w:p>
    <w:p>
      <w:pPr>
        <w:numPr>
          <w:ilvl w:val="0"/>
          <w:numId w:val="1058"/>
        </w:numPr>
        <w:pStyle w:val="Compact"/>
      </w:pPr>
      <w:hyperlink w:anchor="X9abe9cbfc0842599f0ee8c86e16112f68ee99ce">
        <w:r>
          <w:rPr>
            <w:rStyle w:val="Hyperlink"/>
          </w:rPr>
          <w:t xml:space="preserve">Section 7.1.2.8 - OCSP Responder Certificate Profile</w:t>
        </w:r>
      </w:hyperlink>
    </w:p>
    <w:p>
      <w:pPr>
        <w:numPr>
          <w:ilvl w:val="0"/>
          <w:numId w:val="1058"/>
        </w:numPr>
        <w:pStyle w:val="Compact"/>
      </w:pPr>
      <w:hyperlink w:anchor="Xcb2d3f29b52e459935bf97d91c89d922117914a">
        <w:r>
          <w:rPr>
            <w:rStyle w:val="Hyperlink"/>
          </w:rPr>
          <w:t xml:space="preserve">Section 7.1.2.9 - Precertificate Profile</w:t>
        </w:r>
      </w:hyperlink>
    </w:p>
    <w:bookmarkStart w:id="286"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2"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2"/>
    <w:bookmarkStart w:id="283"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3"/>
    <w:bookmarkStart w:id="284"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4"/>
    <w:bookmarkStart w:id="285"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5"/>
    <w:bookmarkEnd w:id="286"/>
    <w:bookmarkStart w:id="296"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7"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87"/>
    <w:bookmarkStart w:id="288"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88"/>
    <w:bookmarkStart w:id="293"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89"/>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90"/>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2"/>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3"/>
    <w:bookmarkStart w:id="294"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4"/>
    <w:bookmarkStart w:id="295"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63"/>
        </w:numPr>
        <w:pStyle w:val="Compact"/>
      </w:pPr>
      <w:r>
        <w:t xml:space="preserve">MUST apply in the context of the public Internet (e.g. MUST NOT be for a service that is only valid in a privately managed network), unless:</w:t>
      </w:r>
    </w:p>
    <w:p>
      <w:pPr>
        <w:numPr>
          <w:ilvl w:val="1"/>
          <w:numId w:val="1064"/>
        </w:numPr>
        <w:pStyle w:val="Compact"/>
      </w:pPr>
      <w:r>
        <w:t xml:space="preserve">the key usage purpose falls within an OID arc for which the Applicant demonstrates ownership; or,</w:t>
      </w:r>
    </w:p>
    <w:p>
      <w:pPr>
        <w:numPr>
          <w:ilvl w:val="1"/>
          <w:numId w:val="1064"/>
        </w:numPr>
        <w:pStyle w:val="Compact"/>
      </w:pPr>
      <w:r>
        <w:t xml:space="preserve">the Applicant can otherwise demonstrate the right to assert the key usage purpose in a public context.</w:t>
      </w:r>
    </w:p>
    <w:p>
      <w:pPr>
        <w:numPr>
          <w:ilvl w:val="0"/>
          <w:numId w:val="1063"/>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63"/>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5"/>
    <w:bookmarkEnd w:id="296"/>
    <w:bookmarkStart w:id="302"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9"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7"/>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8"/>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99"/>
    <w:bookmarkStart w:id="300"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0"/>
    <w:bookmarkStart w:id="301"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1"/>
    <w:bookmarkEnd w:id="302"/>
    <w:bookmarkStart w:id="309"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3">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4">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7"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5"/>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6"/>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7"/>
    <w:bookmarkStart w:id="308"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08"/>
    <w:bookmarkEnd w:id="309"/>
    <w:bookmarkStart w:id="314"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2"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0"/>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1"/>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2"/>
    <w:bookmarkStart w:id="313"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5"/>
        </w:numPr>
        <w:pStyle w:val="Compact"/>
      </w:pPr>
      <w:r>
        <w:t xml:space="preserve">MUST apply in the context of the public Internet, unless:</w:t>
      </w:r>
    </w:p>
    <w:p>
      <w:pPr>
        <w:numPr>
          <w:ilvl w:val="1"/>
          <w:numId w:val="1066"/>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6"/>
        </w:numPr>
        <w:pStyle w:val="Compact"/>
      </w:pPr>
      <w:r>
        <w:t xml:space="preserve">the Applicant can otherwise demonstrate the right to assert the data in a public context.</w:t>
      </w:r>
    </w:p>
    <w:p>
      <w:pPr>
        <w:numPr>
          <w:ilvl w:val="0"/>
          <w:numId w:val="1065"/>
        </w:numPr>
        <w:pStyle w:val="Compact"/>
      </w:pPr>
      <w:r>
        <w:t xml:space="preserve">MUST NOT include semantics that will mislead the Relying Party about certificate information verified by the CA.</w:t>
      </w:r>
    </w:p>
    <w:p>
      <w:pPr>
        <w:numPr>
          <w:ilvl w:val="0"/>
          <w:numId w:val="1065"/>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3"/>
    <w:bookmarkEnd w:id="314"/>
    <w:bookmarkStart w:id="318"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7"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5"/>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6"/>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7"/>
    <w:bookmarkEnd w:id="318"/>
    <w:bookmarkStart w:id="333"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9"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19"/>
    <w:bookmarkStart w:id="320"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0"/>
    <w:bookmarkStart w:id="321"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or DBA.</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1"/>
    <w:bookmarkStart w:id="322"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2"/>
    <w:bookmarkStart w:id="323"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9.2.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3"/>
    <w:bookmarkStart w:id="324"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4"/>
    <w:bookmarkStart w:id="325"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5"/>
    <w:bookmarkStart w:id="326"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26"/>
    <w:bookmarkStart w:id="328"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27"/>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8"/>
    <w:bookmarkStart w:id="329"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29"/>
    <w:bookmarkStart w:id="330"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30"/>
    <w:bookmarkStart w:id="332"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1">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2"/>
    <w:bookmarkEnd w:id="333"/>
    <w:bookmarkStart w:id="344"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4">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5"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5"/>
    <w:bookmarkStart w:id="336"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36"/>
    <w:bookmarkStart w:id="337"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37"/>
    <w:bookmarkStart w:id="338"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38"/>
    <w:bookmarkStart w:id="339"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39"/>
    <w:bookmarkStart w:id="341"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40">
        <w:r>
          <w:rPr>
            <w:rStyle w:val="Hyperlink"/>
          </w:rPr>
          <w:t xml:space="preserve">RFC 6960, Section 4.2.2.2.1</w:t>
        </w:r>
      </w:hyperlink>
      <w:r>
        <w:t xml:space="preserve">.</w:t>
      </w:r>
    </w:p>
    <w:bookmarkEnd w:id="341"/>
    <w:bookmarkStart w:id="342"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2"/>
    <w:bookmarkStart w:id="343"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3"/>
    <w:bookmarkEnd w:id="344"/>
    <w:bookmarkStart w:id="356"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5">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46">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47">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48">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49"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49"/>
    <w:bookmarkStart w:id="350"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47">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50"/>
    <w:bookmarkStart w:id="352"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1">
        <w:r>
          <w:rPr>
            <w:rStyle w:val="Hyperlink"/>
          </w:rPr>
          <w:t xml:space="preserve">RFC 6962, Section 3.1</w:t>
        </w:r>
      </w:hyperlink>
      <w:r>
        <w:t xml:space="preserve">.</w:t>
      </w:r>
    </w:p>
    <w:bookmarkEnd w:id="352"/>
    <w:bookmarkStart w:id="355"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67"/>
        </w:numPr>
        <w:pStyle w:val="Compact"/>
      </w:pPr>
      <w:r>
        <w:t xml:space="preserve">SHOULD be as defined in the profile below, or;</w:t>
      </w:r>
    </w:p>
    <w:p>
      <w:pPr>
        <w:numPr>
          <w:ilvl w:val="0"/>
          <w:numId w:val="1067"/>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3">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4">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5"/>
    <w:bookmarkEnd w:id="356"/>
    <w:bookmarkStart w:id="368"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57"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57"/>
    <w:bookmarkStart w:id="358"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58"/>
    <w:bookmarkStart w:id="359"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59"/>
    <w:bookmarkStart w:id="360"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60"/>
    <w:bookmarkStart w:id="362"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1"/>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2"/>
    <w:bookmarkStart w:id="363"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3"/>
    <w:bookmarkStart w:id="365"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4"/>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5"/>
    <w:bookmarkStart w:id="367"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66">
              <w:r>
                <w:rPr>
                  <w:rStyle w:val="Hyperlink"/>
                </w:rPr>
                <w:t xml:space="preserve">RFC 5280, Section 4.2.1.10</w:t>
              </w:r>
            </w:hyperlink>
            <w:r>
              <w:t xml:space="preserve">. For each host, domain, or Domain portion of a Mailbox (as specified within</w:t>
            </w:r>
            <w:r>
              <w:t xml:space="preserve"> </w:t>
            </w:r>
            <w:hyperlink r:id="rId331">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8"/>
        </w:numPr>
        <w:pStyle w:val="Compact"/>
      </w:pPr>
      <w:r>
        <w:t xml:space="preserve">MUST apply in the context of the public Internet, unless:</w:t>
      </w:r>
    </w:p>
    <w:p>
      <w:pPr>
        <w:numPr>
          <w:ilvl w:val="1"/>
          <w:numId w:val="1069"/>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9"/>
        </w:numPr>
        <w:pStyle w:val="Compact"/>
      </w:pPr>
      <w:r>
        <w:t xml:space="preserve">the Applicant can otherwise demonstrate the right to assert the data in a public context.</w:t>
      </w:r>
    </w:p>
    <w:p>
      <w:pPr>
        <w:numPr>
          <w:ilvl w:val="0"/>
          <w:numId w:val="1068"/>
        </w:numPr>
        <w:pStyle w:val="Compact"/>
      </w:pPr>
      <w:r>
        <w:t xml:space="preserve">MUST NOT include semantics that will mislead the Relying Party about certificate information verified by the CA.</w:t>
      </w:r>
    </w:p>
    <w:p>
      <w:pPr>
        <w:numPr>
          <w:ilvl w:val="0"/>
          <w:numId w:val="1068"/>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67"/>
    <w:bookmarkEnd w:id="368"/>
    <w:bookmarkStart w:id="376"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9"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69"/>
    <w:bookmarkStart w:id="370"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0"/>
        </w:numPr>
        <w:pStyle w:val="Compact"/>
      </w:pPr>
      <w:r>
        <w:t xml:space="preserve">Subordinate CA Certificates; and</w:t>
      </w:r>
    </w:p>
    <w:p>
      <w:pPr>
        <w:numPr>
          <w:ilvl w:val="0"/>
          <w:numId w:val="1070"/>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1"/>
        </w:numPr>
        <w:pStyle w:val="Compact"/>
      </w:pPr>
      <w:r>
        <w:t xml:space="preserve">Root CA Certificates.</w:t>
      </w:r>
    </w:p>
    <w:p>
      <w:pPr>
        <w:pStyle w:val="FirstParagraph"/>
      </w:pPr>
      <w:r>
        <w:t xml:space="preserve">The CRL Distribution Points extension is OPTIONAL in:</w:t>
      </w:r>
    </w:p>
    <w:p>
      <w:pPr>
        <w:numPr>
          <w:ilvl w:val="0"/>
          <w:numId w:val="1072"/>
        </w:numPr>
        <w:pStyle w:val="Compact"/>
      </w:pPr>
      <w:r>
        <w:t xml:space="preserve">Short-lived Subscriber Certificates.</w:t>
      </w:r>
    </w:p>
    <w:p>
      <w:pPr>
        <w:pStyle w:val="FirstParagraph"/>
      </w:pPr>
      <w:r>
        <w:t xml:space="preserve">The CRL Distribution Points extension MUST NOT be present in:</w:t>
      </w:r>
    </w:p>
    <w:p>
      <w:pPr>
        <w:numPr>
          <w:ilvl w:val="0"/>
          <w:numId w:val="1073"/>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70"/>
    <w:bookmarkStart w:id="372"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1">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2"/>
    <w:bookmarkStart w:id="374"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3">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4"/>
    <w:bookmarkStart w:id="375"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74"/>
        </w:numPr>
        <w:pStyle w:val="Compact"/>
      </w:pPr>
      <w:r>
        <w:t xml:space="preserve">MUST apply in the context of the public Internet, unless:</w:t>
      </w:r>
    </w:p>
    <w:p>
      <w:pPr>
        <w:numPr>
          <w:ilvl w:val="1"/>
          <w:numId w:val="1075"/>
        </w:numPr>
        <w:pStyle w:val="Compact"/>
      </w:pPr>
      <w:r>
        <w:t xml:space="preserve">the extension OID falls within an OID arc for which the Applicant demonstrates ownership, or,</w:t>
      </w:r>
    </w:p>
    <w:p>
      <w:pPr>
        <w:numPr>
          <w:ilvl w:val="1"/>
          <w:numId w:val="1075"/>
        </w:numPr>
        <w:pStyle w:val="Compact"/>
      </w:pPr>
      <w:r>
        <w:t xml:space="preserve">the Applicant can otherwise demonstrate the right to assert the data in a public context.</w:t>
      </w:r>
    </w:p>
    <w:p>
      <w:pPr>
        <w:numPr>
          <w:ilvl w:val="0"/>
          <w:numId w:val="1074"/>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74"/>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5"/>
    <w:bookmarkEnd w:id="376"/>
    <w:bookmarkEnd w:id="377"/>
    <w:bookmarkStart w:id="384" w:name="Xe8d74dc6bb127d217fc11248b8c986acc35ebab"/>
    <w:p>
      <w:pPr>
        <w:pStyle w:val="Heading3"/>
      </w:pPr>
      <w:r>
        <w:t xml:space="preserve">7.1.3 Algorithm object identifiers</w:t>
      </w:r>
    </w:p>
    <w:bookmarkStart w:id="380"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78"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78"/>
    <w:bookmarkStart w:id="379"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76"/>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76"/>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76"/>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77"/>
        </w:numPr>
        <w:pStyle w:val="Compact"/>
      </w:pPr>
      <w:r>
        <w:t xml:space="preserve">For P-256 keys,</w:t>
      </w:r>
      <w:r>
        <w:t xml:space="preserve"> </w:t>
      </w:r>
      <w:r>
        <w:rPr>
          <w:rStyle w:val="VerbatimChar"/>
        </w:rPr>
        <w:t xml:space="preserve">301306072a8648ce3d020106082a8648ce3d030107</w:t>
      </w:r>
      <w:r>
        <w:t xml:space="preserve">.</w:t>
      </w:r>
    </w:p>
    <w:p>
      <w:pPr>
        <w:numPr>
          <w:ilvl w:val="0"/>
          <w:numId w:val="1077"/>
        </w:numPr>
        <w:pStyle w:val="Compact"/>
      </w:pPr>
      <w:r>
        <w:t xml:space="preserve">For P-384 keys,</w:t>
      </w:r>
      <w:r>
        <w:t xml:space="preserve"> </w:t>
      </w:r>
      <w:r>
        <w:rPr>
          <w:rStyle w:val="VerbatimChar"/>
        </w:rPr>
        <w:t xml:space="preserve">301006072a8648ce3d020106052b81040022</w:t>
      </w:r>
      <w:r>
        <w:t xml:space="preserve">.</w:t>
      </w:r>
    </w:p>
    <w:p>
      <w:pPr>
        <w:numPr>
          <w:ilvl w:val="0"/>
          <w:numId w:val="1077"/>
        </w:numPr>
        <w:pStyle w:val="Compact"/>
      </w:pPr>
      <w:r>
        <w:t xml:space="preserve">For P-521 keys,</w:t>
      </w:r>
      <w:r>
        <w:t xml:space="preserve"> </w:t>
      </w:r>
      <w:r>
        <w:rPr>
          <w:rStyle w:val="VerbatimChar"/>
        </w:rPr>
        <w:t xml:space="preserve">301006072a8648ce3d020106052b81040023</w:t>
      </w:r>
      <w:r>
        <w:t xml:space="preserve">.</w:t>
      </w:r>
    </w:p>
    <w:bookmarkEnd w:id="379"/>
    <w:bookmarkEnd w:id="380"/>
    <w:bookmarkStart w:id="383"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78"/>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78"/>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78"/>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78"/>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78"/>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1"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79"/>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79"/>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79"/>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79"/>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79"/>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79"/>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0"/>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1"/>
        </w:numPr>
        <w:pStyle w:val="Compact"/>
      </w:pPr>
      <w:r>
        <w:t xml:space="preserve">The new Certificate is a Root CA Certificate or Subordinate CA Certificate that is a Cross-Certificate; and,</w:t>
      </w:r>
    </w:p>
    <w:p>
      <w:pPr>
        <w:numPr>
          <w:ilvl w:val="1"/>
          <w:numId w:val="1081"/>
        </w:numPr>
        <w:pStyle w:val="Compact"/>
      </w:pPr>
      <w:r>
        <w:t xml:space="preserve">There is an existing Certificate, issued by the same issuing CA Certificate, using the following encoding for the signature algorithm; and,</w:t>
      </w:r>
    </w:p>
    <w:p>
      <w:pPr>
        <w:numPr>
          <w:ilvl w:val="1"/>
          <w:numId w:val="1081"/>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1"/>
        </w:numPr>
        <w:pStyle w:val="Compact"/>
      </w:pPr>
      <w:r>
        <w:t xml:space="preserve">The only differences between the new Certificate and existing Certificate are one of the following:</w:t>
      </w:r>
    </w:p>
    <w:p>
      <w:pPr>
        <w:numPr>
          <w:ilvl w:val="2"/>
          <w:numId w:val="1082"/>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2"/>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2"/>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2"/>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0"/>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83"/>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83"/>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0"/>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84"/>
        </w:numPr>
        <w:pStyle w:val="Compact"/>
      </w:pPr>
      <w:r>
        <w:t xml:space="preserve">The CRL is referenced by one or more Root CA or Subordinate CA Certificates; and,</w:t>
      </w:r>
    </w:p>
    <w:p>
      <w:pPr>
        <w:numPr>
          <w:ilvl w:val="1"/>
          <w:numId w:val="1084"/>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85"/>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1"/>
    <w:bookmarkStart w:id="382"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2"/>
    <w:bookmarkEnd w:id="383"/>
    <w:bookmarkEnd w:id="384"/>
    <w:bookmarkStart w:id="396"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87"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5">
        <w:r>
          <w:rPr>
            <w:rStyle w:val="Hyperlink"/>
          </w:rPr>
          <w:t xml:space="preserve">RFC 5280, Section 6</w:t>
        </w:r>
      </w:hyperlink>
      <w:r>
        <w:t xml:space="preserve">):</w:t>
      </w:r>
    </w:p>
    <w:p>
      <w:pPr>
        <w:numPr>
          <w:ilvl w:val="0"/>
          <w:numId w:val="1086"/>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86"/>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86">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87"/>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87"/>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87"/>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88"/>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87"/>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87"/>
    <w:bookmarkStart w:id="393"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88"/>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89">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0"/>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1"/>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2"/>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80">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3"/>
    <w:bookmarkStart w:id="394"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89"/>
        </w:numPr>
        <w:pStyle w:val="Compact"/>
      </w:pPr>
      <w:r>
        <w:t xml:space="preserve">If the value is an IPv4 address, then the value MUST be encoded as an IPv4Address as specified in RFC 3986, Section 3.2.2.</w:t>
      </w:r>
    </w:p>
    <w:p>
      <w:pPr>
        <w:numPr>
          <w:ilvl w:val="0"/>
          <w:numId w:val="1089"/>
        </w:numPr>
        <w:pStyle w:val="Compact"/>
      </w:pPr>
      <w:r>
        <w:t xml:space="preserve">If the value is an IPv6 address, then the value MUST be encoded in the text representation specified in RFC 5952, Section 4.</w:t>
      </w:r>
    </w:p>
    <w:p>
      <w:pPr>
        <w:numPr>
          <w:ilvl w:val="0"/>
          <w:numId w:val="1089"/>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4"/>
    <w:bookmarkStart w:id="395"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0"/>
        </w:numPr>
        <w:pStyle w:val="Compact"/>
      </w:pPr>
      <w:r>
        <w:t xml:space="preserve">Document the attributes within Section 7.1.4 of their CP or CPS, along with the applicable validation practices.</w:t>
      </w:r>
    </w:p>
    <w:p>
      <w:pPr>
        <w:numPr>
          <w:ilvl w:val="0"/>
          <w:numId w:val="1090"/>
        </w:numPr>
        <w:pStyle w:val="Compact"/>
      </w:pPr>
      <w:r>
        <w:t xml:space="preserve">Ensure that the contents contain information that has been verified by the CA, independent of the Applicant.</w:t>
      </w:r>
    </w:p>
    <w:bookmarkEnd w:id="395"/>
    <w:bookmarkEnd w:id="396"/>
    <w:bookmarkStart w:id="397" w:name="Xb679318b5159669ccef024bee2ed8b9b757084d"/>
    <w:p>
      <w:pPr>
        <w:pStyle w:val="Heading3"/>
      </w:pPr>
      <w:r>
        <w:t xml:space="preserve">7.1.5 Name constraints</w:t>
      </w:r>
    </w:p>
    <w:bookmarkEnd w:id="397"/>
    <w:bookmarkStart w:id="399" w:name="Xc8d3ffc41162c976c376ed548cd0fe263da63e7"/>
    <w:p>
      <w:pPr>
        <w:pStyle w:val="Heading3"/>
      </w:pPr>
      <w:r>
        <w:t xml:space="preserve">7.1.6 Certificate policy object identifier</w:t>
      </w:r>
    </w:p>
    <w:bookmarkStart w:id="398"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398"/>
    <w:bookmarkEnd w:id="399"/>
    <w:bookmarkStart w:id="400" w:name="Xed9e7834e6ffbd250e01c735c982e66ea9861ae"/>
    <w:p>
      <w:pPr>
        <w:pStyle w:val="Heading3"/>
      </w:pPr>
      <w:r>
        <w:t xml:space="preserve">7.1.7 Usage of Policy Constraints extension</w:t>
      </w:r>
    </w:p>
    <w:bookmarkEnd w:id="400"/>
    <w:bookmarkStart w:id="401" w:name="Xb75aeb95e41b160b3b406a7bf538931f2032f39"/>
    <w:p>
      <w:pPr>
        <w:pStyle w:val="Heading3"/>
      </w:pPr>
      <w:r>
        <w:t xml:space="preserve">7.1.8 Policy qualifiers syntax and semantics</w:t>
      </w:r>
    </w:p>
    <w:bookmarkEnd w:id="401"/>
    <w:bookmarkStart w:id="402" w:name="X7e1386d320ff9b93177aebb64539fc5dd8f35e6"/>
    <w:p>
      <w:pPr>
        <w:pStyle w:val="Heading3"/>
      </w:pPr>
      <w:r>
        <w:t xml:space="preserve">7.1.9 Processing semantics for the critical Certificate Policies extension</w:t>
      </w:r>
    </w:p>
    <w:bookmarkEnd w:id="402"/>
    <w:bookmarkEnd w:id="403"/>
    <w:bookmarkStart w:id="407"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80">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1">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4" w:name="X2c7758d2e300cbeb8e6063b008586dacac9f358"/>
    <w:p>
      <w:pPr>
        <w:pStyle w:val="Heading3"/>
      </w:pPr>
      <w:r>
        <w:t xml:space="preserve">7.2.1 Version number(s)</w:t>
      </w:r>
    </w:p>
    <w:p>
      <w:pPr>
        <w:pStyle w:val="FirstParagraph"/>
      </w:pPr>
      <w:r>
        <w:t xml:space="preserve">Certificate Revocation Lists MUST be of type X.509 v2.</w:t>
      </w:r>
    </w:p>
    <w:bookmarkEnd w:id="404"/>
    <w:bookmarkStart w:id="406"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5"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1"/>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1"/>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1"/>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5"/>
    <w:bookmarkEnd w:id="406"/>
    <w:bookmarkEnd w:id="407"/>
    <w:bookmarkStart w:id="410"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08" w:name="Xc8a24ea14e8ad5ea4873a37aeff4628ce67cbd7"/>
    <w:p>
      <w:pPr>
        <w:pStyle w:val="Heading3"/>
      </w:pPr>
      <w:r>
        <w:t xml:space="preserve">7.3.1 Version number(s)</w:t>
      </w:r>
    </w:p>
    <w:bookmarkEnd w:id="408"/>
    <w:bookmarkStart w:id="409"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09"/>
    <w:bookmarkEnd w:id="410"/>
    <w:bookmarkEnd w:id="411"/>
    <w:bookmarkStart w:id="419"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2"/>
        </w:numPr>
        <w:pStyle w:val="Compact"/>
      </w:pPr>
      <w:r>
        <w:t xml:space="preserve">Comply with these Requirements;</w:t>
      </w:r>
    </w:p>
    <w:p>
      <w:pPr>
        <w:numPr>
          <w:ilvl w:val="0"/>
          <w:numId w:val="1092"/>
        </w:numPr>
        <w:pStyle w:val="Compact"/>
      </w:pPr>
      <w:r>
        <w:t xml:space="preserve">Comply with the audit requirements set forth in this section; and</w:t>
      </w:r>
    </w:p>
    <w:p>
      <w:pPr>
        <w:numPr>
          <w:ilvl w:val="0"/>
          <w:numId w:val="1092"/>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2"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2"/>
    <w:bookmarkStart w:id="413"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093"/>
        </w:numPr>
        <w:pStyle w:val="Compact"/>
      </w:pPr>
      <w:r>
        <w:t xml:space="preserve">Independence from the subject of the audit;</w:t>
      </w:r>
    </w:p>
    <w:p>
      <w:pPr>
        <w:numPr>
          <w:ilvl w:val="0"/>
          <w:numId w:val="1093"/>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093"/>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093"/>
        </w:numPr>
        <w:pStyle w:val="Compact"/>
      </w:pPr>
      <w:r>
        <w:t xml:space="preserve">(For audits conducted in accordance with any one of the ETSI standards) accredited in accordance with ISO 17065 applying the requirements specified in ETSI EN 319 403;</w:t>
      </w:r>
    </w:p>
    <w:p>
      <w:pPr>
        <w:numPr>
          <w:ilvl w:val="0"/>
          <w:numId w:val="1093"/>
        </w:numPr>
        <w:pStyle w:val="Compact"/>
      </w:pPr>
      <w:r>
        <w:t xml:space="preserve">(For audits conducted in accordance with the WebTrust standard) licensed by WebTrust;</w:t>
      </w:r>
    </w:p>
    <w:p>
      <w:pPr>
        <w:numPr>
          <w:ilvl w:val="0"/>
          <w:numId w:val="1093"/>
        </w:numPr>
        <w:pStyle w:val="Compact"/>
      </w:pPr>
      <w:r>
        <w:t xml:space="preserve">Bound by law, government regulation, or professional code of ethics; and</w:t>
      </w:r>
    </w:p>
    <w:p>
      <w:pPr>
        <w:numPr>
          <w:ilvl w:val="0"/>
          <w:numId w:val="1093"/>
        </w:numPr>
        <w:pStyle w:val="Compact"/>
      </w:pPr>
      <w:r>
        <w:t xml:space="preserve">Except in the case of an Internal Government Auditing Agency, maintains Professional Liability/Errors &amp; Omissions insurance with policy limits of at least one million US dollars in coverage</w:t>
      </w:r>
    </w:p>
    <w:bookmarkEnd w:id="413"/>
    <w:bookmarkStart w:id="414" w:name="Xb2895b2fcf8cd8991a2fa3ac2a5191d6feaaf90"/>
    <w:p>
      <w:pPr>
        <w:pStyle w:val="Heading2"/>
      </w:pPr>
      <w:r>
        <w:t xml:space="preserve">8.3 Assessor’s relationship to assessed entity</w:t>
      </w:r>
    </w:p>
    <w:bookmarkEnd w:id="414"/>
    <w:bookmarkStart w:id="415"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094"/>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094"/>
        </w:numPr>
        <w:pStyle w:val="Compact"/>
      </w:pPr>
      <w:r>
        <w:t xml:space="preserve">ETSI EN 319 411-1 v1.2.2, which includes normative references to ETSI EN 319 401 (the latest version of the referenced ETSI documents should be applied); or</w:t>
      </w:r>
    </w:p>
    <w:p>
      <w:pPr>
        <w:numPr>
          <w:ilvl w:val="0"/>
          <w:numId w:val="1094"/>
        </w:numPr>
        <w:pStyle w:val="Compact"/>
      </w:pPr>
      <w:r>
        <w:t xml:space="preserve">If a Government CA is required by its Certificate Policy to use a different internal audit scheme, it MAY use such scheme provided that the audit either</w:t>
      </w:r>
    </w:p>
    <w:p>
      <w:pPr>
        <w:numPr>
          <w:ilvl w:val="1"/>
          <w:numId w:val="1095"/>
        </w:numPr>
        <w:pStyle w:val="Compact"/>
      </w:pPr>
      <w:r>
        <w:t xml:space="preserve">encompasses all requirements of one of the above schemes or</w:t>
      </w:r>
    </w:p>
    <w:p>
      <w:pPr>
        <w:numPr>
          <w:ilvl w:val="1"/>
          <w:numId w:val="1095"/>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5"/>
    <w:bookmarkStart w:id="416" w:name="Xb77e0fc54416a91f5670213c9623748359fe7fc"/>
    <w:p>
      <w:pPr>
        <w:pStyle w:val="Heading2"/>
      </w:pPr>
      <w:r>
        <w:t xml:space="preserve">8.5 Actions taken as a result of deficiency</w:t>
      </w:r>
    </w:p>
    <w:bookmarkEnd w:id="416"/>
    <w:bookmarkStart w:id="417"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096"/>
        </w:numPr>
        <w:pStyle w:val="Compact"/>
      </w:pPr>
      <w:r>
        <w:t xml:space="preserve">name of the organization being audited;</w:t>
      </w:r>
    </w:p>
    <w:p>
      <w:pPr>
        <w:numPr>
          <w:ilvl w:val="0"/>
          <w:numId w:val="1096"/>
        </w:numPr>
        <w:pStyle w:val="Compact"/>
      </w:pPr>
      <w:r>
        <w:t xml:space="preserve">name and address of the organization performing the audit;</w:t>
      </w:r>
    </w:p>
    <w:p>
      <w:pPr>
        <w:numPr>
          <w:ilvl w:val="0"/>
          <w:numId w:val="1096"/>
        </w:numPr>
        <w:pStyle w:val="Compact"/>
      </w:pPr>
      <w:r>
        <w:t xml:space="preserve">the SHA-256 fingerprint of all Roots and Subordinate CA Certificates, including Cross-Certified Subordinate CA Certificates, that were in-scope of the audit;</w:t>
      </w:r>
    </w:p>
    <w:p>
      <w:pPr>
        <w:numPr>
          <w:ilvl w:val="0"/>
          <w:numId w:val="1096"/>
        </w:numPr>
        <w:pStyle w:val="Compact"/>
      </w:pPr>
      <w:r>
        <w:t xml:space="preserve">audit criteria, with version number(s), that were used to audit each of the certificates (and associated keys);</w:t>
      </w:r>
    </w:p>
    <w:p>
      <w:pPr>
        <w:numPr>
          <w:ilvl w:val="0"/>
          <w:numId w:val="1096"/>
        </w:numPr>
        <w:pStyle w:val="Compact"/>
      </w:pPr>
      <w:r>
        <w:t xml:space="preserve">a list of the CA policy documents, with version numbers, referenced during the audit;</w:t>
      </w:r>
    </w:p>
    <w:p>
      <w:pPr>
        <w:numPr>
          <w:ilvl w:val="0"/>
          <w:numId w:val="1096"/>
        </w:numPr>
        <w:pStyle w:val="Compact"/>
      </w:pPr>
      <w:r>
        <w:t xml:space="preserve">whether the audit assessed a period of time or a point in time;</w:t>
      </w:r>
    </w:p>
    <w:p>
      <w:pPr>
        <w:numPr>
          <w:ilvl w:val="0"/>
          <w:numId w:val="1096"/>
        </w:numPr>
        <w:pStyle w:val="Compact"/>
      </w:pPr>
      <w:r>
        <w:t xml:space="preserve">the start date and end date of the Audit Period, for those that cover a period of time;</w:t>
      </w:r>
    </w:p>
    <w:p>
      <w:pPr>
        <w:numPr>
          <w:ilvl w:val="0"/>
          <w:numId w:val="1096"/>
        </w:numPr>
        <w:pStyle w:val="Compact"/>
      </w:pPr>
      <w:r>
        <w:t xml:space="preserve">the point in time date, for those that are for a point in time;</w:t>
      </w:r>
    </w:p>
    <w:p>
      <w:pPr>
        <w:numPr>
          <w:ilvl w:val="0"/>
          <w:numId w:val="1096"/>
        </w:numPr>
        <w:pStyle w:val="Compact"/>
      </w:pPr>
      <w:r>
        <w:t xml:space="preserve">the date the report was issued, which will necessarily be after the end date or point in time date; and</w:t>
      </w:r>
    </w:p>
    <w:p>
      <w:pPr>
        <w:numPr>
          <w:ilvl w:val="0"/>
          <w:numId w:val="1096"/>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096"/>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17"/>
    <w:bookmarkStart w:id="418"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 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18"/>
    <w:bookmarkEnd w:id="419"/>
    <w:bookmarkStart w:id="472" w:name="X1b3172719035076246fa692266738f120f21d18"/>
    <w:p>
      <w:pPr>
        <w:pStyle w:val="Heading1"/>
      </w:pPr>
      <w:r>
        <w:t xml:space="preserve">9. OTHER BUSINESS AND LEGAL MATTERS</w:t>
      </w:r>
    </w:p>
    <w:bookmarkStart w:id="425" w:name="X9e1e4e739dcc18b0dcffb6221f807a2a284ccfa"/>
    <w:p>
      <w:pPr>
        <w:pStyle w:val="Heading2"/>
      </w:pPr>
      <w:r>
        <w:t xml:space="preserve">9.1 Fees</w:t>
      </w:r>
    </w:p>
    <w:bookmarkStart w:id="420" w:name="X1b67225cf53cf32cb2b90327c6e8269ed5fa5eb"/>
    <w:p>
      <w:pPr>
        <w:pStyle w:val="Heading3"/>
      </w:pPr>
      <w:r>
        <w:t xml:space="preserve">9.1.1 Certificate issuance or renewal fees</w:t>
      </w:r>
    </w:p>
    <w:bookmarkEnd w:id="420"/>
    <w:bookmarkStart w:id="421" w:name="X4b08da61ddb2fa9217aacbd0b59bc2d64cbec64"/>
    <w:p>
      <w:pPr>
        <w:pStyle w:val="Heading3"/>
      </w:pPr>
      <w:r>
        <w:t xml:space="preserve">9.1.2 Certificate access fees</w:t>
      </w:r>
    </w:p>
    <w:bookmarkEnd w:id="421"/>
    <w:bookmarkStart w:id="422" w:name="X7f7c3bc1e0cb2d8ff962bdc889bfac1a0265de9"/>
    <w:p>
      <w:pPr>
        <w:pStyle w:val="Heading3"/>
      </w:pPr>
      <w:r>
        <w:t xml:space="preserve">9.1.3 Revocation or status information access fees</w:t>
      </w:r>
    </w:p>
    <w:bookmarkEnd w:id="422"/>
    <w:bookmarkStart w:id="423" w:name="Xb06699e15acbdd0fda5f839e0607957b62115d0"/>
    <w:p>
      <w:pPr>
        <w:pStyle w:val="Heading3"/>
      </w:pPr>
      <w:r>
        <w:t xml:space="preserve">9.1.4 Fees for other services</w:t>
      </w:r>
    </w:p>
    <w:bookmarkEnd w:id="423"/>
    <w:bookmarkStart w:id="424" w:name="X15d40b3d70ec68b057607e6e2568bca850e8fd6"/>
    <w:p>
      <w:pPr>
        <w:pStyle w:val="Heading3"/>
      </w:pPr>
      <w:r>
        <w:t xml:space="preserve">9.1.5 Refund policy</w:t>
      </w:r>
    </w:p>
    <w:bookmarkEnd w:id="424"/>
    <w:bookmarkEnd w:id="425"/>
    <w:bookmarkStart w:id="429" w:name="Xd952917766949dfcf7962abfdd3b24b9b93549e"/>
    <w:p>
      <w:pPr>
        <w:pStyle w:val="Heading2"/>
      </w:pPr>
      <w:r>
        <w:t xml:space="preserve">9.2 Financial responsibility</w:t>
      </w:r>
    </w:p>
    <w:bookmarkStart w:id="426" w:name="Xab3b556a04395b5d46f4c82fd05370dfac94716"/>
    <w:p>
      <w:pPr>
        <w:pStyle w:val="Heading3"/>
      </w:pPr>
      <w:r>
        <w:t xml:space="preserve">9.2.1 Insurance coverage</w:t>
      </w:r>
    </w:p>
    <w:bookmarkEnd w:id="426"/>
    <w:bookmarkStart w:id="427" w:name="X801c484485ff69250845233a4b0ac7f5a10bfa5"/>
    <w:p>
      <w:pPr>
        <w:pStyle w:val="Heading3"/>
      </w:pPr>
      <w:r>
        <w:t xml:space="preserve">9.2.2 Other assets</w:t>
      </w:r>
    </w:p>
    <w:bookmarkEnd w:id="427"/>
    <w:bookmarkStart w:id="428" w:name="Xdcd133e846f0e16a5a0eeaddc1ef654447c1abf"/>
    <w:p>
      <w:pPr>
        <w:pStyle w:val="Heading3"/>
      </w:pPr>
      <w:r>
        <w:t xml:space="preserve">9.2.3 Insurance or warranty coverage for end-entities</w:t>
      </w:r>
    </w:p>
    <w:bookmarkEnd w:id="428"/>
    <w:bookmarkEnd w:id="429"/>
    <w:bookmarkStart w:id="433" w:name="Xe5c485ef49f267790086c69012571d874897c2b"/>
    <w:p>
      <w:pPr>
        <w:pStyle w:val="Heading2"/>
      </w:pPr>
      <w:r>
        <w:t xml:space="preserve">9.3 Confidentiality of business information</w:t>
      </w:r>
    </w:p>
    <w:bookmarkStart w:id="430" w:name="Xdeb9db4cd332267afa68e6003f72db0f2eb9855"/>
    <w:p>
      <w:pPr>
        <w:pStyle w:val="Heading3"/>
      </w:pPr>
      <w:r>
        <w:t xml:space="preserve">9.3.1 Scope of confidential information</w:t>
      </w:r>
    </w:p>
    <w:bookmarkEnd w:id="430"/>
    <w:bookmarkStart w:id="431" w:name="Xc76890e753e41d81fc0bd7b62299ea853528a39"/>
    <w:p>
      <w:pPr>
        <w:pStyle w:val="Heading3"/>
      </w:pPr>
      <w:r>
        <w:t xml:space="preserve">9.3.2 Information not within the scope of confidential information</w:t>
      </w:r>
    </w:p>
    <w:bookmarkEnd w:id="431"/>
    <w:bookmarkStart w:id="432" w:name="X498af9c046d5890b35db79801b036529dab1550"/>
    <w:p>
      <w:pPr>
        <w:pStyle w:val="Heading3"/>
      </w:pPr>
      <w:r>
        <w:t xml:space="preserve">9.3.3 Responsibility to protect confidential information</w:t>
      </w:r>
    </w:p>
    <w:bookmarkEnd w:id="432"/>
    <w:bookmarkEnd w:id="433"/>
    <w:bookmarkStart w:id="441" w:name="Xad2e9d9fda6d9e9ceca691155dcaa52aa109057"/>
    <w:p>
      <w:pPr>
        <w:pStyle w:val="Heading2"/>
      </w:pPr>
      <w:r>
        <w:t xml:space="preserve">9.4 Privacy of personal information</w:t>
      </w:r>
    </w:p>
    <w:bookmarkStart w:id="434" w:name="X6c26da41eb0326e4f3fb045dfb289f7b51c7861"/>
    <w:p>
      <w:pPr>
        <w:pStyle w:val="Heading3"/>
      </w:pPr>
      <w:r>
        <w:t xml:space="preserve">9.4.1 Privacy plan</w:t>
      </w:r>
    </w:p>
    <w:bookmarkEnd w:id="434"/>
    <w:bookmarkStart w:id="435" w:name="Xadbbe12640a69022222360f63066c0e94eb9aa3"/>
    <w:p>
      <w:pPr>
        <w:pStyle w:val="Heading3"/>
      </w:pPr>
      <w:r>
        <w:t xml:space="preserve">9.4.2 Information treated as private</w:t>
      </w:r>
    </w:p>
    <w:bookmarkEnd w:id="435"/>
    <w:bookmarkStart w:id="436" w:name="X10286c0bb7599b2673f1511c5eba30f104208ef"/>
    <w:p>
      <w:pPr>
        <w:pStyle w:val="Heading3"/>
      </w:pPr>
      <w:r>
        <w:t xml:space="preserve">9.4.3 Information not deemed private</w:t>
      </w:r>
    </w:p>
    <w:bookmarkEnd w:id="436"/>
    <w:bookmarkStart w:id="437" w:name="Xb386d8380baab7b744b988974512573241e56bf"/>
    <w:p>
      <w:pPr>
        <w:pStyle w:val="Heading3"/>
      </w:pPr>
      <w:r>
        <w:t xml:space="preserve">9.4.4 Responsibility to protect private information</w:t>
      </w:r>
    </w:p>
    <w:bookmarkEnd w:id="437"/>
    <w:bookmarkStart w:id="438" w:name="X2405297b88dc49ee58b1ecaed983d326a4a5201"/>
    <w:p>
      <w:pPr>
        <w:pStyle w:val="Heading3"/>
      </w:pPr>
      <w:r>
        <w:t xml:space="preserve">9.4.5 Notice and consent to use private information</w:t>
      </w:r>
    </w:p>
    <w:bookmarkEnd w:id="438"/>
    <w:bookmarkStart w:id="439" w:name="X321bc53c16e37210ae137a90c77c1abab43ca96"/>
    <w:p>
      <w:pPr>
        <w:pStyle w:val="Heading3"/>
      </w:pPr>
      <w:r>
        <w:t xml:space="preserve">9.4.6 Disclosure pursuant to judicial or administrative process</w:t>
      </w:r>
    </w:p>
    <w:bookmarkEnd w:id="439"/>
    <w:bookmarkStart w:id="440" w:name="Xa230d593656a1e51f036328990e12f114fb8201"/>
    <w:p>
      <w:pPr>
        <w:pStyle w:val="Heading3"/>
      </w:pPr>
      <w:r>
        <w:t xml:space="preserve">9.4.7 Other information disclosure circumstances</w:t>
      </w:r>
    </w:p>
    <w:bookmarkEnd w:id="440"/>
    <w:bookmarkEnd w:id="441"/>
    <w:bookmarkStart w:id="442" w:name="X64cd535714d6f2f932d7dafef0fe5e7bfe8aab1"/>
    <w:p>
      <w:pPr>
        <w:pStyle w:val="Heading2"/>
      </w:pPr>
      <w:r>
        <w:t xml:space="preserve">9.5 Intellectual property rights</w:t>
      </w:r>
    </w:p>
    <w:bookmarkEnd w:id="442"/>
    <w:bookmarkStart w:id="448" w:name="X42df1952200f8b3b6c421fc9bd0ada64200850e"/>
    <w:p>
      <w:pPr>
        <w:pStyle w:val="Heading2"/>
      </w:pPr>
      <w:r>
        <w:t xml:space="preserve">9.6 Representations and warranties</w:t>
      </w:r>
    </w:p>
    <w:bookmarkStart w:id="443"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097"/>
        </w:numPr>
        <w:pStyle w:val="Compact"/>
      </w:pPr>
      <w:r>
        <w:t xml:space="preserve">The Subscriber that is a party to the Subscriber Agreement or Terms of Use for the Certificate;</w:t>
      </w:r>
    </w:p>
    <w:p>
      <w:pPr>
        <w:numPr>
          <w:ilvl w:val="0"/>
          <w:numId w:val="1097"/>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097"/>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098"/>
        </w:numPr>
        <w:pStyle w:val="Compact"/>
      </w:pPr>
      <w:r>
        <w:rPr>
          <w:bCs/>
          <w:b/>
        </w:rPr>
        <w:t xml:space="preserve">Right to Use Domain Name or IP Address</w:t>
      </w:r>
      <w:r>
        <w:t xml:space="preserve">: That, at the time of issuance, the CA</w:t>
      </w:r>
    </w:p>
    <w:p>
      <w:pPr>
        <w:numPr>
          <w:ilvl w:val="1"/>
          <w:numId w:val="1099"/>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099"/>
        </w:numPr>
        <w:pStyle w:val="Compact"/>
      </w:pPr>
      <w:r>
        <w:t xml:space="preserve">followed the procedure when issuing the Certificate; and</w:t>
      </w:r>
    </w:p>
    <w:p>
      <w:pPr>
        <w:numPr>
          <w:ilvl w:val="1"/>
          <w:numId w:val="1099"/>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Authorization for Certificate</w:t>
      </w:r>
      <w:r>
        <w:t xml:space="preserve">: That, at the time of issuance, the CA</w:t>
      </w:r>
    </w:p>
    <w:p>
      <w:pPr>
        <w:numPr>
          <w:ilvl w:val="1"/>
          <w:numId w:val="1100"/>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00"/>
        </w:numPr>
        <w:pStyle w:val="Compact"/>
      </w:pPr>
      <w:r>
        <w:t xml:space="preserve">followed the procedure when issuing the Certificate; and</w:t>
      </w:r>
    </w:p>
    <w:p>
      <w:pPr>
        <w:numPr>
          <w:ilvl w:val="1"/>
          <w:numId w:val="1100"/>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Accuracy of Information</w:t>
      </w:r>
      <w:r>
        <w:t xml:space="preserve">: That, at the time of issuance, the CA</w:t>
      </w:r>
    </w:p>
    <w:p>
      <w:pPr>
        <w:numPr>
          <w:ilvl w:val="1"/>
          <w:numId w:val="1101"/>
        </w:numPr>
        <w:pStyle w:val="Compact"/>
      </w:pPr>
      <w:r>
        <w:t xml:space="preserve">implemented a procedure for verifying the accuracy of all of the information contained in the Certificate;</w:t>
      </w:r>
    </w:p>
    <w:p>
      <w:pPr>
        <w:numPr>
          <w:ilvl w:val="1"/>
          <w:numId w:val="1101"/>
        </w:numPr>
        <w:pStyle w:val="Compact"/>
      </w:pPr>
      <w:r>
        <w:t xml:space="preserve">followed the procedure when issuing the Certificate; and</w:t>
      </w:r>
    </w:p>
    <w:p>
      <w:pPr>
        <w:numPr>
          <w:ilvl w:val="1"/>
          <w:numId w:val="1101"/>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Identity of Applicant</w:t>
      </w:r>
      <w:r>
        <w:t xml:space="preserve">: That, if the Certificate contains Subject Identity Information, the CA</w:t>
      </w:r>
    </w:p>
    <w:p>
      <w:pPr>
        <w:numPr>
          <w:ilvl w:val="1"/>
          <w:numId w:val="1102"/>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2"/>
        </w:numPr>
        <w:pStyle w:val="Compact"/>
      </w:pPr>
      <w:r>
        <w:t xml:space="preserve">followed the procedure when issuing the Certificate; and</w:t>
      </w:r>
    </w:p>
    <w:p>
      <w:pPr>
        <w:numPr>
          <w:ilvl w:val="1"/>
          <w:numId w:val="1102"/>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098"/>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098"/>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3"/>
    <w:bookmarkStart w:id="444" w:name="Xebe04674c865104894aa0b023e720efe3a82b5e"/>
    <w:p>
      <w:pPr>
        <w:pStyle w:val="Heading3"/>
      </w:pPr>
      <w:r>
        <w:t xml:space="preserve">9.6.2 RA representations and warranties</w:t>
      </w:r>
    </w:p>
    <w:p>
      <w:pPr>
        <w:pStyle w:val="FirstParagraph"/>
      </w:pPr>
      <w:r>
        <w:t xml:space="preserve">No stipulation.</w:t>
      </w:r>
    </w:p>
    <w:bookmarkEnd w:id="444"/>
    <w:bookmarkStart w:id="445"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03"/>
        </w:numPr>
        <w:pStyle w:val="Compact"/>
      </w:pPr>
      <w:r>
        <w:t xml:space="preserve">The Applicant’s agreement to the Subscriber Agreement with the CA, or</w:t>
      </w:r>
    </w:p>
    <w:p>
      <w:pPr>
        <w:numPr>
          <w:ilvl w:val="0"/>
          <w:numId w:val="1103"/>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04"/>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04"/>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04"/>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04"/>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04"/>
        </w:numPr>
        <w:pStyle w:val="Compact"/>
      </w:pPr>
      <w:r>
        <w:rPr>
          <w:bCs/>
          <w:b/>
        </w:rPr>
        <w:t xml:space="preserve">Reporting and Revocation</w:t>
      </w:r>
      <w:r>
        <w:t xml:space="preserve">: An obligation and warranty to:</w:t>
      </w:r>
    </w:p>
    <w:p>
      <w:pPr>
        <w:numPr>
          <w:ilvl w:val="1"/>
          <w:numId w:val="1105"/>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05"/>
        </w:numPr>
        <w:pStyle w:val="Compact"/>
      </w:pPr>
      <w:r>
        <w:t xml:space="preserve">promptly request revocation of the Certificate, and cease using it, if any information in the Certificate is or becomes incorrect or inaccurate;</w:t>
      </w:r>
    </w:p>
    <w:p>
      <w:pPr>
        <w:numPr>
          <w:ilvl w:val="0"/>
          <w:numId w:val="1104"/>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04"/>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04"/>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5"/>
    <w:bookmarkStart w:id="446" w:name="Xce77c7c8575aedca19a4bcf41e786564708694d"/>
    <w:p>
      <w:pPr>
        <w:pStyle w:val="Heading3"/>
      </w:pPr>
      <w:r>
        <w:t xml:space="preserve">9.6.4 Relying party representations and warranties</w:t>
      </w:r>
    </w:p>
    <w:bookmarkEnd w:id="446"/>
    <w:bookmarkStart w:id="447" w:name="X5ad64ad5eca0698d8b9ce9c2a180877e13a0852"/>
    <w:p>
      <w:pPr>
        <w:pStyle w:val="Heading3"/>
      </w:pPr>
      <w:r>
        <w:t xml:space="preserve">9.6.5 Representations and warranties of other participants</w:t>
      </w:r>
    </w:p>
    <w:bookmarkEnd w:id="447"/>
    <w:bookmarkEnd w:id="448"/>
    <w:bookmarkStart w:id="449" w:name="X3e394d97fc62ae682b76b8a401598ecd71e7381"/>
    <w:p>
      <w:pPr>
        <w:pStyle w:val="Heading2"/>
      </w:pPr>
      <w:r>
        <w:t xml:space="preserve">9.7 Disclaimers of warranties</w:t>
      </w:r>
    </w:p>
    <w:bookmarkEnd w:id="449"/>
    <w:bookmarkStart w:id="450"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50"/>
    <w:bookmarkStart w:id="451"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1"/>
    <w:bookmarkStart w:id="455" w:name="X7ba9a97174471fc033509b3b35a3e9fc60a339d"/>
    <w:p>
      <w:pPr>
        <w:pStyle w:val="Heading2"/>
      </w:pPr>
      <w:r>
        <w:t xml:space="preserve">9.10 Term and termination</w:t>
      </w:r>
    </w:p>
    <w:bookmarkStart w:id="452" w:name="X4d3f6870a86df28a1f6e68dd2c72de3b3afbdfb"/>
    <w:p>
      <w:pPr>
        <w:pStyle w:val="Heading3"/>
      </w:pPr>
      <w:r>
        <w:t xml:space="preserve">9.10.1 Term</w:t>
      </w:r>
    </w:p>
    <w:bookmarkEnd w:id="452"/>
    <w:bookmarkStart w:id="453" w:name="X4ffa3f8a67459fa4b33f6bfae2cd17cc142ecf8"/>
    <w:p>
      <w:pPr>
        <w:pStyle w:val="Heading3"/>
      </w:pPr>
      <w:r>
        <w:t xml:space="preserve">9.10.2 Termination</w:t>
      </w:r>
    </w:p>
    <w:bookmarkEnd w:id="453"/>
    <w:bookmarkStart w:id="454" w:name="Xc1785ffdcfdde1261d0f7f398f8dd35cbc98dfe"/>
    <w:p>
      <w:pPr>
        <w:pStyle w:val="Heading3"/>
      </w:pPr>
      <w:r>
        <w:t xml:space="preserve">9.10.3 Effect of termination and survival</w:t>
      </w:r>
    </w:p>
    <w:bookmarkEnd w:id="454"/>
    <w:bookmarkEnd w:id="455"/>
    <w:bookmarkStart w:id="456" w:name="Xfc373925ebb137a487c6a7b9d2dd630a4f0b256"/>
    <w:p>
      <w:pPr>
        <w:pStyle w:val="Heading2"/>
      </w:pPr>
      <w:r>
        <w:t xml:space="preserve">9.11 Individual notices and communications with participants</w:t>
      </w:r>
    </w:p>
    <w:bookmarkEnd w:id="456"/>
    <w:bookmarkStart w:id="460" w:name="Xdf1273fb7beaede1c848432870f51b5a8bc8737"/>
    <w:p>
      <w:pPr>
        <w:pStyle w:val="Heading2"/>
      </w:pPr>
      <w:r>
        <w:t xml:space="preserve">9.12 Amendments</w:t>
      </w:r>
    </w:p>
    <w:bookmarkStart w:id="457" w:name="Xc613974beff4bd0b19e37bba61b2ec88172216b"/>
    <w:p>
      <w:pPr>
        <w:pStyle w:val="Heading3"/>
      </w:pPr>
      <w:r>
        <w:t xml:space="preserve">9.12.1 Procedure for amendment</w:t>
      </w:r>
    </w:p>
    <w:bookmarkEnd w:id="457"/>
    <w:bookmarkStart w:id="458" w:name="X0c84bdf4e5d4f55a3ed3383527421a55f2ccc5f"/>
    <w:p>
      <w:pPr>
        <w:pStyle w:val="Heading3"/>
      </w:pPr>
      <w:r>
        <w:t xml:space="preserve">9.12.2 Notification mechanism and period</w:t>
      </w:r>
    </w:p>
    <w:bookmarkEnd w:id="458"/>
    <w:bookmarkStart w:id="459" w:name="X44dd3a0f1969a45e2de4169497c54d6e22b8d4e"/>
    <w:p>
      <w:pPr>
        <w:pStyle w:val="Heading3"/>
      </w:pPr>
      <w:r>
        <w:t xml:space="preserve">9.12.3 Circumstances under which OID must be changed</w:t>
      </w:r>
    </w:p>
    <w:bookmarkEnd w:id="459"/>
    <w:bookmarkEnd w:id="460"/>
    <w:bookmarkStart w:id="461" w:name="X532d40f2ecaf6ea44a2ec5da010bc191ee5d16d"/>
    <w:p>
      <w:pPr>
        <w:pStyle w:val="Heading2"/>
      </w:pPr>
      <w:r>
        <w:t xml:space="preserve">9.13 Dispute resolution provisions</w:t>
      </w:r>
    </w:p>
    <w:bookmarkEnd w:id="461"/>
    <w:bookmarkStart w:id="462" w:name="X6f36ee9a99eb8b9385d5bdedb679bae78eb2a91"/>
    <w:p>
      <w:pPr>
        <w:pStyle w:val="Heading2"/>
      </w:pPr>
      <w:r>
        <w:t xml:space="preserve">9.14 Governing law</w:t>
      </w:r>
    </w:p>
    <w:bookmarkEnd w:id="462"/>
    <w:bookmarkStart w:id="463"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3"/>
    <w:bookmarkStart w:id="470" w:name="X812605d8f841bdf71495d8993bcda18fd152bd8"/>
    <w:p>
      <w:pPr>
        <w:pStyle w:val="Heading2"/>
      </w:pPr>
      <w:r>
        <w:t xml:space="preserve">9.16 Miscellaneous provisions</w:t>
      </w:r>
    </w:p>
    <w:bookmarkStart w:id="464" w:name="X617276fa3572012c7efe11ea4cd2c7983c855d4"/>
    <w:p>
      <w:pPr>
        <w:pStyle w:val="Heading3"/>
      </w:pPr>
      <w:r>
        <w:t xml:space="preserve">9.16.1 Entire agreement</w:t>
      </w:r>
    </w:p>
    <w:bookmarkEnd w:id="464"/>
    <w:bookmarkStart w:id="465" w:name="X2ae3b321bcbf4efff46a5a600da342d57a37616"/>
    <w:p>
      <w:pPr>
        <w:pStyle w:val="Heading3"/>
      </w:pPr>
      <w:r>
        <w:t xml:space="preserve">9.16.2 Assignment</w:t>
      </w:r>
    </w:p>
    <w:bookmarkEnd w:id="465"/>
    <w:bookmarkStart w:id="467"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66">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67"/>
    <w:bookmarkStart w:id="468" w:name="Xf640df77cf004e0fc87647819c725ff18801b3f"/>
    <w:p>
      <w:pPr>
        <w:pStyle w:val="Heading3"/>
      </w:pPr>
      <w:r>
        <w:t xml:space="preserve">9.16.4 Enforcement (attorneys’ fees and waiver of rights)</w:t>
      </w:r>
    </w:p>
    <w:bookmarkEnd w:id="468"/>
    <w:bookmarkStart w:id="469" w:name="X656ab7b064035247061ac63ec4cdba70d0d7f6c"/>
    <w:p>
      <w:pPr>
        <w:pStyle w:val="Heading3"/>
      </w:pPr>
      <w:r>
        <w:t xml:space="preserve">9.16.5 Force Majeure</w:t>
      </w:r>
    </w:p>
    <w:bookmarkEnd w:id="469"/>
    <w:bookmarkEnd w:id="470"/>
    <w:bookmarkStart w:id="471" w:name="X55acb3accc9964cedc51bbeb2126f44eb9b7820"/>
    <w:p>
      <w:pPr>
        <w:pStyle w:val="Heading2"/>
      </w:pPr>
      <w:r>
        <w:t xml:space="preserve">9.17 Other provisions</w:t>
      </w:r>
    </w:p>
    <w:bookmarkEnd w:id="471"/>
    <w:bookmarkEnd w:id="472"/>
    <w:bookmarkStart w:id="479"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5" w:name="a1-caa-methods"/>
    <w:p>
      <w:pPr>
        <w:pStyle w:val="Heading2"/>
      </w:pPr>
      <w:r>
        <w:t xml:space="preserve">A.1. CAA Methods</w:t>
      </w:r>
    </w:p>
    <w:bookmarkStart w:id="473"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3"/>
    <w:bookmarkStart w:id="474"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4"/>
    <w:bookmarkEnd w:id="475"/>
    <w:bookmarkStart w:id="478" w:name="a2-dns-txt-methods"/>
    <w:p>
      <w:pPr>
        <w:pStyle w:val="Heading2"/>
      </w:pPr>
      <w:r>
        <w:t xml:space="preserve">A.2. DNS TXT Methods</w:t>
      </w:r>
    </w:p>
    <w:bookmarkStart w:id="476"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76"/>
    <w:bookmarkStart w:id="477"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77"/>
    <w:bookmarkEnd w:id="478"/>
    <w:bookmarkEnd w:id="479"/>
    <w:bookmarkStart w:id="481"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06"/>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80">
        <w:r>
          <w:rPr>
            <w:rStyle w:val="Hyperlink"/>
          </w:rPr>
          <w:t xml:space="preserve">https://spec.torproject.org/rend-spec-v3</w:t>
        </w:r>
      </w:hyperlink>
      <w:r>
        <w:t xml:space="preserve">.</w:t>
      </w:r>
    </w:p>
    <w:p>
      <w:pPr>
        <w:numPr>
          <w:ilvl w:val="0"/>
          <w:numId w:val="1106"/>
        </w:numPr>
      </w:pPr>
      <w:r>
        <w:t xml:space="preserve">The CA MUST verify the Applicant’s control over the Onion Domain Name using at least one of the methods listed below:</w:t>
      </w:r>
    </w:p>
    <w:p>
      <w:pPr>
        <w:numPr>
          <w:ilvl w:val="1"/>
          <w:numId w:val="1107"/>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08"/>
        </w:numPr>
        <w:pStyle w:val="Compact"/>
      </w:pPr>
      <w:hyperlink w:anchor="Xc46000129b0d394eceab9eaea84e163722f6ebc">
        <w:r>
          <w:rPr>
            <w:rStyle w:val="Hyperlink"/>
          </w:rPr>
          <w:t xml:space="preserve">Section 3.2.2.4.18 - Agreed-Upon Change to Website v2</w:t>
        </w:r>
      </w:hyperlink>
    </w:p>
    <w:p>
      <w:pPr>
        <w:numPr>
          <w:ilvl w:val="2"/>
          <w:numId w:val="1108"/>
        </w:numPr>
        <w:pStyle w:val="Compact"/>
      </w:pPr>
      <w:hyperlink w:anchor="X3668caebf20c4cdaf2b3d8ef5a761cf401871de">
        <w:r>
          <w:rPr>
            <w:rStyle w:val="Hyperlink"/>
          </w:rPr>
          <w:t xml:space="preserve">Section 3.2.2.4.19 - Agreed-Upon Change to Website - ACME</w:t>
        </w:r>
      </w:hyperlink>
    </w:p>
    <w:p>
      <w:pPr>
        <w:numPr>
          <w:ilvl w:val="2"/>
          <w:numId w:val="1108"/>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07"/>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09"/>
        </w:numPr>
        <w:pStyle w:val="Compact"/>
      </w:pPr>
      <w:r>
        <w:t xml:space="preserve">A caSigningNonce attribute that contains a Random Value that is generated by the CA; and</w:t>
      </w:r>
    </w:p>
    <w:p>
      <w:pPr>
        <w:numPr>
          <w:ilvl w:val="2"/>
          <w:numId w:val="1109"/>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06"/>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1"/>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9">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90">
    <w:p>
      <w:pPr>
        <w:pStyle w:val="FootnoteText"/>
      </w:pPr>
      <w:r>
        <w:rPr>
          <w:rStyle w:val="FootnoteReference"/>
        </w:rPr>
        <w:footnoteRef/>
      </w:r>
      <w:r>
        <w:t xml:space="preserve"> </w:t>
      </w:r>
      <w:r>
        <w:t xml:space="preserve">While</w:t>
      </w:r>
      <w:r>
        <w:t xml:space="preserve"> </w:t>
      </w:r>
      <w:hyperlink r:id="rId291">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2">
    <w:p>
      <w:pPr>
        <w:pStyle w:val="FootnoteText"/>
      </w:pPr>
      <w:r>
        <w:rPr>
          <w:rStyle w:val="FootnoteReference"/>
        </w:rPr>
        <w:footnoteRef/>
      </w:r>
      <w:r>
        <w:t xml:space="preserve"> </w:t>
      </w:r>
      <w:r>
        <w:t xml:space="preserve">While</w:t>
      </w:r>
      <w:r>
        <w:t xml:space="preserve"> </w:t>
      </w:r>
      <w:hyperlink r:id="rId291">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7">
    <w:p>
      <w:pPr>
        <w:pStyle w:val="FootnoteText"/>
      </w:pPr>
      <w:r>
        <w:rPr>
          <w:rStyle w:val="FootnoteReference"/>
        </w:rPr>
        <w:footnoteRef/>
      </w:r>
      <w:r>
        <w:t xml:space="preserve"> </w:t>
      </w:r>
      <w:r>
        <w:t xml:space="preserve">While</w:t>
      </w:r>
      <w:r>
        <w:t xml:space="preserve"> </w:t>
      </w:r>
      <w:hyperlink r:id="rId291">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8">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5">
    <w:p>
      <w:pPr>
        <w:pStyle w:val="FootnoteText"/>
      </w:pPr>
      <w:r>
        <w:rPr>
          <w:rStyle w:val="FootnoteReference"/>
        </w:rPr>
        <w:footnoteRef/>
      </w:r>
      <w:r>
        <w:t xml:space="preserve"> </w:t>
      </w:r>
      <w:r>
        <w:t xml:space="preserve">While</w:t>
      </w:r>
      <w:r>
        <w:t xml:space="preserve"> </w:t>
      </w:r>
      <w:hyperlink r:id="rId291">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6">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0">
    <w:p>
      <w:pPr>
        <w:pStyle w:val="FootnoteText"/>
      </w:pPr>
      <w:r>
        <w:rPr>
          <w:rStyle w:val="FootnoteReference"/>
        </w:rPr>
        <w:footnoteRef/>
      </w:r>
      <w:r>
        <w:t xml:space="preserve"> </w:t>
      </w:r>
      <w:r>
        <w:t xml:space="preserve">While</w:t>
      </w:r>
      <w:r>
        <w:t xml:space="preserve"> </w:t>
      </w:r>
      <w:hyperlink r:id="rId291">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1">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5">
    <w:p>
      <w:pPr>
        <w:pStyle w:val="FootnoteText"/>
      </w:pPr>
      <w:r>
        <w:rPr>
          <w:rStyle w:val="FootnoteReference"/>
        </w:rPr>
        <w:footnoteRef/>
      </w:r>
      <w:r>
        <w:t xml:space="preserve"> </w:t>
      </w:r>
      <w:r>
        <w:t xml:space="preserve">While</w:t>
      </w:r>
      <w:r>
        <w:t xml:space="preserve"> </w:t>
      </w:r>
      <w:hyperlink r:id="rId291">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6">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27">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1">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4">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88">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90">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1">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2">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5" Target="http://publicsuffix.org/" TargetMode="External" /><Relationship Type="http://schemas.openxmlformats.org/officeDocument/2006/relationships/hyperlink" Id="rId46"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7"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49" Target="https://cabforum.org/network-security-requirements/" TargetMode="External" /><Relationship Type="http://schemas.openxmlformats.org/officeDocument/2006/relationships/hyperlink" Id="rId466" Target="https://cabforum.org/pipermail/public/" TargetMode="External" /><Relationship Type="http://schemas.openxmlformats.org/officeDocument/2006/relationships/hyperlink" Id="rId354" Target="https://datatracker.ietf.org/doc/html/rfc5280" TargetMode="External" /><Relationship Type="http://schemas.openxmlformats.org/officeDocument/2006/relationships/hyperlink" Id="rId353" Target="https://datatracker.ietf.org/doc/html/rfc6962" TargetMode="External" /><Relationship Type="http://schemas.openxmlformats.org/officeDocument/2006/relationships/hyperlink" Id="rId50" Target="https://nvlpubs.nist.gov/nistpubs/Legacy/SP/nistspecialpublication800-89.pdf" TargetMode="External" /><Relationship Type="http://schemas.openxmlformats.org/officeDocument/2006/relationships/hyperlink" Id="rId480" Target="https://spec.torproject.org/rend-spec-v3" TargetMode="External" /><Relationship Type="http://schemas.openxmlformats.org/officeDocument/2006/relationships/hyperlink" Id="rId346" Target="https://tools.ietf.org/doc/html/rfc5280" TargetMode="External" /><Relationship Type="http://schemas.openxmlformats.org/officeDocument/2006/relationships/hyperlink" Id="rId348" Target="https://tools.ietf.org/doc/html/rfc5280#section-4.1.2.2" TargetMode="External" /><Relationship Type="http://schemas.openxmlformats.org/officeDocument/2006/relationships/hyperlink" Id="rId345" Target="https://tools.ietf.org/doc/html/rfc6962" TargetMode="External" /><Relationship Type="http://schemas.openxmlformats.org/officeDocument/2006/relationships/hyperlink" Id="rId351" Target="https://tools.ietf.org/doc/html/rfc6962#section-3.1" TargetMode="External" /><Relationship Type="http://schemas.openxmlformats.org/officeDocument/2006/relationships/hyperlink" Id="rId347" Target="https://tools.ietf.org/doc/html/rfc6962#section-3.2" TargetMode="External" /><Relationship Type="http://schemas.openxmlformats.org/officeDocument/2006/relationships/hyperlink" Id="rId389" Target="https://tools.ietf.org/html/rfc4519" TargetMode="External" /><Relationship Type="http://schemas.openxmlformats.org/officeDocument/2006/relationships/hyperlink" Id="rId280" Target="https://tools.ietf.org/html/rfc5280" TargetMode="External" /><Relationship Type="http://schemas.openxmlformats.org/officeDocument/2006/relationships/hyperlink" Id="rId281" Target="https://tools.ietf.org/html/rfc5280#appendix-B" TargetMode="External" /><Relationship Type="http://schemas.openxmlformats.org/officeDocument/2006/relationships/hyperlink" Id="rId366" Target="https://tools.ietf.org/html/rfc5280#section-4.2.1.10" TargetMode="External" /><Relationship Type="http://schemas.openxmlformats.org/officeDocument/2006/relationships/hyperlink" Id="rId291" Target="https://tools.ietf.org/html/rfc5280#section-4.2.1.13" TargetMode="External" /><Relationship Type="http://schemas.openxmlformats.org/officeDocument/2006/relationships/hyperlink" Id="rId373" Target="https://tools.ietf.org/html/rfc5280#section-4.2.1.2" TargetMode="External" /><Relationship Type="http://schemas.openxmlformats.org/officeDocument/2006/relationships/hyperlink" Id="rId331" Target="https://tools.ietf.org/html/rfc5280#section-4.2.1.6" TargetMode="External" /><Relationship Type="http://schemas.openxmlformats.org/officeDocument/2006/relationships/hyperlink" Id="rId385" Target="https://tools.ietf.org/html/rfc5280#section-6" TargetMode="External" /><Relationship Type="http://schemas.openxmlformats.org/officeDocument/2006/relationships/hyperlink" Id="rId386" Target="https://tools.ietf.org/html/rfc5280#section-7.1" TargetMode="External" /><Relationship Type="http://schemas.openxmlformats.org/officeDocument/2006/relationships/hyperlink" Id="rId334" Target="https://tools.ietf.org/html/rfc6960#section-4.2.2.2" TargetMode="External" /><Relationship Type="http://schemas.openxmlformats.org/officeDocument/2006/relationships/hyperlink" Id="rId340" Target="https://tools.ietf.org/html/rfc6960#section-4.2.2.2.1" TargetMode="External" /><Relationship Type="http://schemas.openxmlformats.org/officeDocument/2006/relationships/hyperlink" Id="rId303" Target="https://tools.ietf.org/html/rfc6962#section-3.1" TargetMode="External" /><Relationship Type="http://schemas.openxmlformats.org/officeDocument/2006/relationships/hyperlink" Id="rId304" Target="https://tools.ietf.org/html/rfc6962#section-3.2" TargetMode="External" /><Relationship Type="http://schemas.openxmlformats.org/officeDocument/2006/relationships/hyperlink" Id="rId371" Target="https://tools.ietf.org/html/rfc6962#section-3.3" TargetMode="External" /><Relationship Type="http://schemas.openxmlformats.org/officeDocument/2006/relationships/hyperlink" Id="rId90" Target="https://tools.ietf.org/html/rfc7231#section-6.4" TargetMode="External" /><Relationship Type="http://schemas.openxmlformats.org/officeDocument/2006/relationships/hyperlink" Id="rId92" Target="https://tools.ietf.org/html/rfc7231#section-7.1.2" TargetMode="External" /><Relationship Type="http://schemas.openxmlformats.org/officeDocument/2006/relationships/hyperlink" Id="rId91" Target="https://tools.ietf.org/html/rfc7538#section-3" TargetMode="External" /><Relationship Type="http://schemas.openxmlformats.org/officeDocument/2006/relationships/hyperlink" Id="rId161" Target="https://wiki.debian.org/SSLkeys" TargetMode="External" /><Relationship Type="http://schemas.openxmlformats.org/officeDocument/2006/relationships/hyperlink" Id="rId51" Target="https://www.cpacanada.ca/en/business-and-accounting-resources/audit-and-assurance/overview-of-webtrust-services/principles-and-criteria" TargetMode="External" /><Relationship Type="http://schemas.openxmlformats.org/officeDocument/2006/relationships/hyperlink" Id="rId44" Target="https://www.iana.org/assignments/iana-ipv4-special-registry/iana-ipv4-special-registry.xhtml" TargetMode="External" /><Relationship Type="http://schemas.openxmlformats.org/officeDocument/2006/relationships/hyperlink" Id="rId45"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5" Target="http://publicsuffix.org/" TargetMode="External" /><Relationship Type="http://schemas.openxmlformats.org/officeDocument/2006/relationships/hyperlink" Id="rId46"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7"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49" Target="https://cabforum.org/network-security-requirements/" TargetMode="External" /><Relationship Type="http://schemas.openxmlformats.org/officeDocument/2006/relationships/hyperlink" Id="rId466" Target="https://cabforum.org/pipermail/public/" TargetMode="External" /><Relationship Type="http://schemas.openxmlformats.org/officeDocument/2006/relationships/hyperlink" Id="rId354" Target="https://datatracker.ietf.org/doc/html/rfc5280" TargetMode="External" /><Relationship Type="http://schemas.openxmlformats.org/officeDocument/2006/relationships/hyperlink" Id="rId353" Target="https://datatracker.ietf.org/doc/html/rfc6962" TargetMode="External" /><Relationship Type="http://schemas.openxmlformats.org/officeDocument/2006/relationships/hyperlink" Id="rId50" Target="https://nvlpubs.nist.gov/nistpubs/Legacy/SP/nistspecialpublication800-89.pdf" TargetMode="External" /><Relationship Type="http://schemas.openxmlformats.org/officeDocument/2006/relationships/hyperlink" Id="rId480" Target="https://spec.torproject.org/rend-spec-v3" TargetMode="External" /><Relationship Type="http://schemas.openxmlformats.org/officeDocument/2006/relationships/hyperlink" Id="rId346" Target="https://tools.ietf.org/doc/html/rfc5280" TargetMode="External" /><Relationship Type="http://schemas.openxmlformats.org/officeDocument/2006/relationships/hyperlink" Id="rId348" Target="https://tools.ietf.org/doc/html/rfc5280#section-4.1.2.2" TargetMode="External" /><Relationship Type="http://schemas.openxmlformats.org/officeDocument/2006/relationships/hyperlink" Id="rId345" Target="https://tools.ietf.org/doc/html/rfc6962" TargetMode="External" /><Relationship Type="http://schemas.openxmlformats.org/officeDocument/2006/relationships/hyperlink" Id="rId351" Target="https://tools.ietf.org/doc/html/rfc6962#section-3.1" TargetMode="External" /><Relationship Type="http://schemas.openxmlformats.org/officeDocument/2006/relationships/hyperlink" Id="rId347" Target="https://tools.ietf.org/doc/html/rfc6962#section-3.2" TargetMode="External" /><Relationship Type="http://schemas.openxmlformats.org/officeDocument/2006/relationships/hyperlink" Id="rId389" Target="https://tools.ietf.org/html/rfc4519" TargetMode="External" /><Relationship Type="http://schemas.openxmlformats.org/officeDocument/2006/relationships/hyperlink" Id="rId280" Target="https://tools.ietf.org/html/rfc5280" TargetMode="External" /><Relationship Type="http://schemas.openxmlformats.org/officeDocument/2006/relationships/hyperlink" Id="rId281" Target="https://tools.ietf.org/html/rfc5280#appendix-B" TargetMode="External" /><Relationship Type="http://schemas.openxmlformats.org/officeDocument/2006/relationships/hyperlink" Id="rId366" Target="https://tools.ietf.org/html/rfc5280#section-4.2.1.10" TargetMode="External" /><Relationship Type="http://schemas.openxmlformats.org/officeDocument/2006/relationships/hyperlink" Id="rId291" Target="https://tools.ietf.org/html/rfc5280#section-4.2.1.13" TargetMode="External" /><Relationship Type="http://schemas.openxmlformats.org/officeDocument/2006/relationships/hyperlink" Id="rId373" Target="https://tools.ietf.org/html/rfc5280#section-4.2.1.2" TargetMode="External" /><Relationship Type="http://schemas.openxmlformats.org/officeDocument/2006/relationships/hyperlink" Id="rId331" Target="https://tools.ietf.org/html/rfc5280#section-4.2.1.6" TargetMode="External" /><Relationship Type="http://schemas.openxmlformats.org/officeDocument/2006/relationships/hyperlink" Id="rId385" Target="https://tools.ietf.org/html/rfc5280#section-6" TargetMode="External" /><Relationship Type="http://schemas.openxmlformats.org/officeDocument/2006/relationships/hyperlink" Id="rId386" Target="https://tools.ietf.org/html/rfc5280#section-7.1" TargetMode="External" /><Relationship Type="http://schemas.openxmlformats.org/officeDocument/2006/relationships/hyperlink" Id="rId334" Target="https://tools.ietf.org/html/rfc6960#section-4.2.2.2" TargetMode="External" /><Relationship Type="http://schemas.openxmlformats.org/officeDocument/2006/relationships/hyperlink" Id="rId340" Target="https://tools.ietf.org/html/rfc6960#section-4.2.2.2.1" TargetMode="External" /><Relationship Type="http://schemas.openxmlformats.org/officeDocument/2006/relationships/hyperlink" Id="rId303" Target="https://tools.ietf.org/html/rfc6962#section-3.1" TargetMode="External" /><Relationship Type="http://schemas.openxmlformats.org/officeDocument/2006/relationships/hyperlink" Id="rId304" Target="https://tools.ietf.org/html/rfc6962#section-3.2" TargetMode="External" /><Relationship Type="http://schemas.openxmlformats.org/officeDocument/2006/relationships/hyperlink" Id="rId371" Target="https://tools.ietf.org/html/rfc6962#section-3.3" TargetMode="External" /><Relationship Type="http://schemas.openxmlformats.org/officeDocument/2006/relationships/hyperlink" Id="rId90" Target="https://tools.ietf.org/html/rfc7231#section-6.4" TargetMode="External" /><Relationship Type="http://schemas.openxmlformats.org/officeDocument/2006/relationships/hyperlink" Id="rId92" Target="https://tools.ietf.org/html/rfc7231#section-7.1.2" TargetMode="External" /><Relationship Type="http://schemas.openxmlformats.org/officeDocument/2006/relationships/hyperlink" Id="rId91" Target="https://tools.ietf.org/html/rfc7538#section-3" TargetMode="External" /><Relationship Type="http://schemas.openxmlformats.org/officeDocument/2006/relationships/hyperlink" Id="rId161" Target="https://wiki.debian.org/SSLkeys" TargetMode="External" /><Relationship Type="http://schemas.openxmlformats.org/officeDocument/2006/relationships/hyperlink" Id="rId51" Target="https://www.cpacanada.ca/en/business-and-accounting-resources/audit-and-assurance/overview-of-webtrust-services/principles-and-criteria" TargetMode="External" /><Relationship Type="http://schemas.openxmlformats.org/officeDocument/2006/relationships/hyperlink" Id="rId44" Target="https://www.iana.org/assignments/iana-ipv4-special-registry/iana-ipv4-special-registry.xhtml" TargetMode="External" /><Relationship Type="http://schemas.openxmlformats.org/officeDocument/2006/relationships/hyperlink" Id="rId45"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2024-04-16T13:51:47Z</dcterms:created>
  <dcterms:modified xsi:type="dcterms:W3CDTF">2024-04-16T13:51:47Z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15-April-2024</vt:lpwstr>
  </property>
  <property fmtid="{D5CDD505-2E9C-101B-9397-08002B2CF9AE}" pid="4" name="subtitle">
    <vt:lpwstr>Version 2.0.3</vt:lpwstr>
  </property>
</Properties>
</file>