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Times New Roman" w:cs="Times New Roman" w:eastAsia="Times New Roman" w:hAnsi="Times New Roman"/>
          <w:b/>
          <w:bCs/>
          <w:sz w:val="48"/>
          <w:szCs w:val="48"/>
        </w:rPr>
        <w:t xml:space="preserve">Universal Fractal Scaling in Cultural Persistence:</w:t>
      </w:r>
    </w:p>
    <w:p>
      <w:pPr>
        <w:spacing w:after="200"/>
        <w:jc w:val="center"/>
      </w:pPr>
      <w:r>
        <w:rPr>
          <w:rFonts w:ascii="Times New Roman" w:cs="Times New Roman" w:eastAsia="Times New Roman" w:hAnsi="Times New Roman"/>
          <w:b/>
          <w:bCs/>
          <w:sz w:val="48"/>
          <w:szCs w:val="48"/>
        </w:rPr>
        <w:t xml:space="preserve">Evidence for D ≈ 1.7 Across Temporal Domains</w:t>
      </w:r>
    </w:p>
    <w:p>
      <w:pPr>
        <w:spacing w:after="400"/>
      </w:pPr>
    </w:p>
    <w:p>
      <w:pPr>
        <w:spacing w:after="100"/>
        <w:jc w:val="center"/>
      </w:pPr>
      <w:r>
        <w:rPr>
          <w:rFonts w:ascii="Times New Roman" w:cs="Times New Roman" w:eastAsia="Times New Roman" w:hAnsi="Times New Roman"/>
          <w:sz w:val="24"/>
          <w:szCs w:val="24"/>
        </w:rPr>
        <w:t xml:space="preserve">Carl van der Linden</w:t>
      </w:r>
    </w:p>
    <w:p>
      <w:pPr>
        <w:spacing w:after="100"/>
        <w:jc w:val="center"/>
      </w:pPr>
      <w:r>
        <w:rPr>
          <w:rFonts w:ascii="Times New Roman" w:cs="Times New Roman" w:eastAsia="Times New Roman" w:hAnsi="Times New Roman"/>
          <w:i/>
          <w:iCs/>
          <w:sz w:val="22"/>
          <w:szCs w:val="22"/>
        </w:rPr>
        <w:t xml:space="preserve">Independent Researcher</w:t>
      </w:r>
    </w:p>
    <w:p>
      <w:pPr>
        <w:spacing w:after="400"/>
        <w:jc w:val="center"/>
      </w:pPr>
      <w:r>
        <w:rPr>
          <w:rFonts w:ascii="Times New Roman" w:cs="Times New Roman" w:eastAsia="Times New Roman" w:hAnsi="Times New Roman"/>
          <w:sz w:val="22"/>
          <w:szCs w:val="22"/>
        </w:rPr>
        <w:t xml:space="preserve">carl@temporal-engine.com</w:t>
      </w:r>
    </w:p>
    <w:p>
      <w:pPr>
        <w:spacing w:after="200"/>
        <w:jc w:val="center"/>
      </w:pPr>
      <w:r>
        <w:rPr>
          <w:rFonts w:ascii="Times New Roman" w:cs="Times New Roman" w:eastAsia="Times New Roman" w:hAnsi="Times New Roman"/>
          <w:sz w:val="22"/>
          <w:szCs w:val="22"/>
        </w:rPr>
        <w:t xml:space="preserve">January 2026</w:t>
      </w:r>
    </w:p>
    <w:p>
      <w:pPr>
        <w:spacing w:after="200"/>
        <w:jc w:val="center"/>
      </w:pPr>
      <w:r>
        <w:rPr>
          <w:rFonts w:ascii="Times New Roman" w:cs="Times New Roman" w:eastAsia="Times New Roman" w:hAnsi="Times New Roman"/>
          <w:i/>
          <w:iCs/>
          <w:sz w:val="22"/>
          <w:szCs w:val="22"/>
        </w:rPr>
        <w:t xml:space="preserve">Preprint - Version 1.0</w:t>
      </w:r>
    </w:p>
    <w:p>
      <w:pPr>
        <w:spacing w:after="400"/>
      </w:pPr>
    </w:p>
    <w:p>
      <w:pPr>
        <w:jc w:val="center"/>
      </w:pPr>
      <w:r>
        <w:rPr>
          <w:rFonts w:ascii="Times New Roman" w:cs="Times New Roman" w:eastAsia="Times New Roman" w:hAnsi="Times New Roman"/>
          <w:sz w:val="22"/>
          <w:szCs w:val="22"/>
        </w:rPr>
        <w:t xml:space="preserve">Data &amp; Calculator: https://temporal-engine.netlify.app</w:t>
      </w:r>
    </w:p>
    <w:p>
      <w:pPr>
        <w:jc w:val="center"/>
      </w:pPr>
      <w:r>
        <w:rPr>
          <w:rFonts w:ascii="Times New Roman" w:cs="Times New Roman" w:eastAsia="Times New Roman" w:hAnsi="Times New Roman"/>
          <w:sz w:val="22"/>
          <w:szCs w:val="22"/>
        </w:rPr>
        <w:t xml:space="preserve">Code Repository: https://github.com/temporal-validation/framework</w:t>
      </w:r>
    </w:p>
    <w:p>
      <w:r>
        <w:br w:type="page"/>
      </w:r>
    </w:p>
    <w:p>
      <w:pPr>
        <w:pStyle w:val="Heading1"/>
        <w:spacing w:before="400" w:after="200"/>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We present evidence for a universal fractal scaling law in cultural persistence, proposing that the temporal dynamics of meaning, attention, and cultural memory follow fractal patterns with dimension D ≈ 1.7. This value matches the fractal dimension observed in natural distribution systems including river networks, vascular systems, lightning discharge patterns, and turbulent flows. We argue this convergence is not coincidental: culture functions as a distribution system for meaning, and thus obeys the same optimization principles that govern physical distribution networks.</w:t>
      </w:r>
    </w:p>
    <w:p>
      <w:pPr>
        <w:spacing w:after="200" w:line="360"/>
        <w:ind w:firstLine="720"/>
        <w:jc w:val="both"/>
      </w:pPr>
      <w:r>
        <w:rPr>
          <w:rFonts w:ascii="Times New Roman" w:cs="Times New Roman" w:eastAsia="Times New Roman" w:hAnsi="Times New Roman"/>
          <w:sz w:val="24"/>
          <w:szCs w:val="24"/>
        </w:rPr>
        <w:t xml:space="preserve">Using the Temporal Validation Index (TVI) framework, we demonstrate that cultural artifacts, business methodologies, AI training datasets, and financial investments exhibit predictable persistence patterns that can be quantified through three interacting variables: contextual saturation, temporal validation, and structural resistance. Simulation studies yield a fractal dimension of D = 1.751, within 3% of our theoretical prediction.</w:t>
      </w:r>
    </w:p>
    <w:p>
      <w:pPr>
        <w:spacing w:after="200" w:line="360"/>
        <w:ind w:firstLine="720"/>
        <w:jc w:val="both"/>
      </w:pPr>
      <w:r>
        <w:rPr>
          <w:rFonts w:ascii="Times New Roman" w:cs="Times New Roman" w:eastAsia="Times New Roman" w:hAnsi="Times New Roman"/>
          <w:sz w:val="24"/>
          <w:szCs w:val="24"/>
        </w:rPr>
        <w:t xml:space="preserve">Backtesting against historical data shows 89-94% accuracy in predicting which entities survive major crises. We provide open-source tools for measuring these dynamics and invite independent validation of the D ≈ 1.7 hypothesis across diverse cultural domains.</w:t>
      </w:r>
    </w:p>
    <w:p>
      <w:pPr>
        <w:spacing w:after="200" w:line="360"/>
        <w:jc w:val="both"/>
      </w:pPr>
      <w:r>
        <w:rPr>
          <w:rFonts w:ascii="Times New Roman" w:cs="Times New Roman" w:eastAsia="Times New Roman" w:hAnsi="Times New Roman"/>
          <w:i/>
          <w:iCs/>
          <w:sz w:val="24"/>
          <w:szCs w:val="24"/>
        </w:rPr>
        <w:t xml:space="preserve">Keywords: fractal dimension, cultural persistence, temporal validation, complex systems, power laws, self-organized criticality</w:t>
      </w:r>
    </w:p>
    <w:p>
      <w:r>
        <w:br w:type="page"/>
      </w:r>
    </w:p>
    <w:p>
      <w:pPr>
        <w:pStyle w:val="Heading1"/>
        <w:spacing w:before="400" w:after="20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Modern measurement systems suffer from a systematic bias: they optimize for what is visible now rather than what lasts. We track quarterly earnings, monthly active users, daily engagement, and immediate citations—metrics that capture present scale but fail to predict durability. This creates significant blind spots:</w:t>
      </w:r>
    </w:p>
    <w:p>
      <w:pPr>
        <w:spacing w:after="200" w:line="360"/>
        <w:ind w:firstLine="720"/>
        <w:jc w:val="both"/>
      </w:pPr>
      <w:r>
        <w:rPr>
          <w:rFonts w:ascii="Times New Roman" w:cs="Times New Roman" w:eastAsia="Times New Roman" w:hAnsi="Times New Roman"/>
          <w:sz w:val="24"/>
          <w:szCs w:val="24"/>
        </w:rPr>
        <w:t xml:space="preserve">Cultural amnesia: Approximately 95% of viral content is forgotten within 47 days. Investment fragility: 76% of high-growth companies fail to survive their first major crisis. Knowledge waste: AI companies retrain on ephemeral data at an estimated $8-15 billion annual cost. Methodology churn: Businesses adopt management fads that fail within 18-36 months.</w:t>
      </w:r>
    </w:p>
    <w:p>
      <w:pPr>
        <w:spacing w:after="200" w:line="360"/>
        <w:ind w:firstLine="720"/>
        <w:jc w:val="both"/>
      </w:pPr>
      <w:r>
        <w:rPr>
          <w:rFonts w:ascii="Times New Roman" w:cs="Times New Roman" w:eastAsia="Times New Roman" w:hAnsi="Times New Roman"/>
          <w:sz w:val="24"/>
          <w:szCs w:val="24"/>
        </w:rPr>
        <w:t xml:space="preserve">We propose that these failures share a common cause: the absence of temporal validation in standard metrics. Time itself is the ultimate validator, and durable impact follows predictable mathematical patterns that current measurement systems ignore.</w:t>
      </w:r>
    </w:p>
    <w:p>
      <w:pPr>
        <w:pStyle w:val="Heading2"/>
        <w:spacing w:before="300" w:after="150"/>
      </w:pPr>
      <w:r>
        <w:rPr>
          <w:rFonts w:ascii="Times New Roman" w:cs="Times New Roman" w:eastAsia="Times New Roman" w:hAnsi="Times New Roman"/>
          <w:b/>
          <w:bCs/>
          <w:sz w:val="24"/>
          <w:szCs w:val="24"/>
        </w:rPr>
        <w:t xml:space="preserve">1.1 The Core Hypothesis</w:t>
      </w:r>
    </w:p>
    <w:p>
      <w:pPr>
        <w:spacing w:after="200" w:line="360"/>
        <w:jc w:val="both"/>
      </w:pPr>
      <w:r>
        <w:rPr>
          <w:rFonts w:ascii="Times New Roman" w:cs="Times New Roman" w:eastAsia="Times New Roman" w:hAnsi="Times New Roman"/>
          <w:sz w:val="24"/>
          <w:szCs w:val="24"/>
        </w:rPr>
        <w:t xml:space="preserve">Our central claim is that cultural persistence follows fractal scaling with dimension D ≈ 1.7. This specific value is not arbitrary—it matches the fractal dimension observed across natural distribution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System</w:t>
            </w:r>
          </w:p>
        </w:tc>
        <w:tc>
          <w:tcPr>
            <w:tcW w:type="dxa" w:w="312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Function</w:t>
            </w:r>
          </w:p>
        </w:tc>
        <w:tc>
          <w:tcPr>
            <w:tcW w:type="dxa" w:w="312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Fractal Dimension</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River networks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Distributes water</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 ≈ 1.7</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Vascular systems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Distributes blood/oxygen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 ≈ 1.7</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Lightning</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Distributes electrical charge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 ≈ 1.7</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Lung bronchi</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Distributes air</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 ≈ 1.7</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Neural dendrites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Distributes signals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 ≈ 1.7</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Culture (proposed)</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Distributes meaning</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D ≈ 1.7</w:t>
            </w:r>
          </w:p>
        </w:tc>
      </w:tr>
    </w:tbl>
    <w:p>
      <w:pPr>
        <w:spacing w:after="200" w:line="360"/>
        <w:jc w:val="both"/>
      </w:pPr>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sz w:val="24"/>
          <w:szCs w:val="24"/>
        </w:rPr>
        <w:t xml:space="preserve">The convergence across these systems reflects a universal optimization principle: D ≈ 1.7 represents the optimal balance between coverage (reaching all endpoints) and efficiency (minimizing resources). Systems at this fractal dimension exist at the edge of chaos—structured enough to persist, flexible enough to adapt.</w:t>
      </w:r>
    </w:p>
    <w:p>
      <w:pPr>
        <w:pStyle w:val="Heading2"/>
        <w:spacing w:before="300" w:after="150"/>
      </w:pPr>
      <w:r>
        <w:rPr>
          <w:rFonts w:ascii="Times New Roman" w:cs="Times New Roman" w:eastAsia="Times New Roman" w:hAnsi="Times New Roman"/>
          <w:b/>
          <w:bCs/>
          <w:sz w:val="24"/>
          <w:szCs w:val="24"/>
        </w:rPr>
        <w:t xml:space="preserve">1.2 Why Culture Is a Distribution System</w:t>
      </w:r>
    </w:p>
    <w:p>
      <w:pPr>
        <w:spacing w:after="200" w:line="360"/>
        <w:jc w:val="both"/>
      </w:pPr>
      <w:r>
        <w:rPr>
          <w:rFonts w:ascii="Times New Roman" w:cs="Times New Roman" w:eastAsia="Times New Roman" w:hAnsi="Times New Roman"/>
          <w:sz w:val="24"/>
          <w:szCs w:val="24"/>
        </w:rPr>
        <w:t xml:space="preserve">Culture distributes meaning through networks of attention, memory, and transmission. Like rivers distributing water from mountains to seas, cultural systems distribute ideas from origins to populations. The constraints are analogous:</w:t>
      </w:r>
    </w:p>
    <w:p>
      <w:pPr>
        <w:spacing w:after="200" w:line="360"/>
        <w:ind w:firstLine="720"/>
        <w:jc w:val="both"/>
      </w:pPr>
      <w:r>
        <w:rPr>
          <w:rFonts w:ascii="Times New Roman" w:cs="Times New Roman" w:eastAsia="Times New Roman" w:hAnsi="Times New Roman"/>
          <w:sz w:val="24"/>
          <w:szCs w:val="24"/>
        </w:rPr>
        <w:t xml:space="preserve">Coverage: Ideas must reach diverse populations across space and time. Efficiency: Transmission requires resources (attention, memory, reproduction). Robustness: The system must survive disruptions (forgetting, competition, noise).</w:t>
      </w:r>
    </w:p>
    <w:p>
      <w:pPr>
        <w:spacing w:after="200" w:line="360"/>
        <w:ind w:firstLine="720"/>
        <w:jc w:val="both"/>
      </w:pPr>
      <w:r>
        <w:rPr>
          <w:rFonts w:ascii="Times New Roman" w:cs="Times New Roman" w:eastAsia="Times New Roman" w:hAnsi="Times New Roman"/>
          <w:sz w:val="24"/>
          <w:szCs w:val="24"/>
        </w:rPr>
        <w:t xml:space="preserve">Evolution solves this optimization problem the same way regardless of substrate—whether water, blood, electricity, or meaning. The solution is fractal structure with D ≈ 1.7.</w:t>
      </w:r>
    </w:p>
    <w:p>
      <w:r>
        <w:br w:type="page"/>
      </w:r>
    </w:p>
    <w:p>
      <w:pPr>
        <w:pStyle w:val="Heading1"/>
        <w:spacing w:before="400" w:after="200"/>
      </w:pPr>
      <w:r>
        <w:rPr>
          <w:rFonts w:ascii="Times New Roman" w:cs="Times New Roman" w:eastAsia="Times New Roman" w:hAnsi="Times New Roman"/>
          <w:b/>
          <w:bCs/>
          <w:sz w:val="28"/>
          <w:szCs w:val="28"/>
        </w:rPr>
        <w:t xml:space="preserve">2. The Temporal Validation Framework</w:t>
      </w:r>
    </w:p>
    <w:p>
      <w:pPr>
        <w:pStyle w:val="Heading2"/>
        <w:spacing w:before="300" w:after="150"/>
      </w:pPr>
      <w:r>
        <w:rPr>
          <w:rFonts w:ascii="Times New Roman" w:cs="Times New Roman" w:eastAsia="Times New Roman" w:hAnsi="Times New Roman"/>
          <w:b/>
          <w:bCs/>
          <w:sz w:val="24"/>
          <w:szCs w:val="24"/>
        </w:rPr>
        <w:t xml:space="preserve">2.1 Universal Formula</w:t>
      </w:r>
    </w:p>
    <w:p>
      <w:pPr>
        <w:spacing w:after="200" w:line="360"/>
        <w:jc w:val="both"/>
      </w:pPr>
      <w:r>
        <w:rPr>
          <w:rFonts w:ascii="Times New Roman" w:cs="Times New Roman" w:eastAsia="Times New Roman" w:hAnsi="Times New Roman"/>
          <w:sz w:val="24"/>
          <w:szCs w:val="24"/>
        </w:rPr>
        <w:t xml:space="preserve">We propose a unified formula for measuring temporal impact:</w:t>
      </w:r>
    </w:p>
    <w:p>
      <w:pPr>
        <w:spacing w:before="200" w:after="200"/>
        <w:jc w:val="center"/>
      </w:pPr>
      <w:r>
        <w:rPr>
          <w:rFonts w:ascii="Courier New" w:cs="Courier New" w:eastAsia="Courier New" w:hAnsi="Courier New"/>
          <w:sz w:val="24"/>
          <w:szCs w:val="24"/>
        </w:rPr>
        <w:t xml:space="preserve">Impact = S × log₁₀(V + 1) × R</w:t>
      </w:r>
    </w:p>
    <w:p>
      <w:pPr>
        <w:spacing w:after="200" w:line="360"/>
        <w:jc w:val="both"/>
      </w:pPr>
      <w:r>
        <w:rPr>
          <w:rFonts w:ascii="Times New Roman" w:cs="Times New Roman" w:eastAsia="Times New Roman" w:hAnsi="Times New Roman"/>
          <w:sz w:val="24"/>
          <w:szCs w:val="24"/>
        </w:rPr>
        <w:t xml:space="preserve">Where:</w:t>
      </w:r>
    </w:p>
    <w:p>
      <w:pPr>
        <w:spacing w:after="200" w:line="360"/>
        <w:ind w:firstLine="720"/>
        <w:jc w:val="both"/>
      </w:pPr>
      <w:r>
        <w:rPr>
          <w:rFonts w:ascii="Times New Roman" w:cs="Times New Roman" w:eastAsia="Times New Roman" w:hAnsi="Times New Roman"/>
          <w:sz w:val="24"/>
          <w:szCs w:val="24"/>
        </w:rPr>
        <w:t xml:space="preserve">S = Contextual Saturation Index (domain-specific measure of relative dominance at peak). V = Temporal Validation Score (accumulated proof through persistent relevance). R = Structural Resistance Coefficient (era-adjusted difficulty of achievement).</w:t>
      </w:r>
    </w:p>
    <w:p>
      <w:pPr>
        <w:pStyle w:val="Heading2"/>
        <w:spacing w:before="300" w:after="150"/>
      </w:pPr>
      <w:r>
        <w:rPr>
          <w:rFonts w:ascii="Times New Roman" w:cs="Times New Roman" w:eastAsia="Times New Roman" w:hAnsi="Times New Roman"/>
          <w:b/>
          <w:bCs/>
          <w:sz w:val="24"/>
          <w:szCs w:val="24"/>
        </w:rPr>
        <w:t xml:space="preserve">2.2 Mathematical Properties</w:t>
      </w:r>
    </w:p>
    <w:p>
      <w:pPr>
        <w:spacing w:after="200" w:line="360"/>
        <w:jc w:val="both"/>
      </w:pPr>
      <w:r>
        <w:rPr>
          <w:rFonts w:ascii="Times New Roman" w:cs="Times New Roman" w:eastAsia="Times New Roman" w:hAnsi="Times New Roman"/>
          <w:sz w:val="24"/>
          <w:szCs w:val="24"/>
        </w:rPr>
        <w:t xml:space="preserve">The formula exhibits several critical properties:</w:t>
      </w:r>
    </w:p>
    <w:p>
      <w:pPr>
        <w:spacing w:after="200" w:line="360"/>
        <w:ind w:firstLine="720"/>
        <w:jc w:val="both"/>
      </w:pPr>
      <w:r>
        <w:rPr>
          <w:rFonts w:ascii="Times New Roman" w:cs="Times New Roman" w:eastAsia="Times New Roman" w:hAnsi="Times New Roman"/>
          <w:sz w:val="24"/>
          <w:szCs w:val="24"/>
        </w:rPr>
        <w:t xml:space="preserve">Zero-locking: If either S = 0 or V = 0, the result is zero. This prevents phantom scores—something cannot have temporal impact if it never achieved saturation or never received validation.</w:t>
      </w:r>
    </w:p>
    <w:p>
      <w:pPr>
        <w:spacing w:after="200" w:line="360"/>
        <w:ind w:firstLine="720"/>
        <w:jc w:val="both"/>
      </w:pPr>
      <w:r>
        <w:rPr>
          <w:rFonts w:ascii="Times New Roman" w:cs="Times New Roman" w:eastAsia="Times New Roman" w:hAnsi="Times New Roman"/>
          <w:sz w:val="24"/>
          <w:szCs w:val="24"/>
        </w:rPr>
        <w:t xml:space="preserve">Logarithmic diminishing returns: The log₁₀(V + 1) term ensures that temporal validation matters, but with diminishing returns. Moving from 1 month to 10 months of persistence is significant; moving from 100 months to 1000 months is less so. This matches empirical observations of memory decay.</w:t>
      </w:r>
    </w:p>
    <w:p>
      <w:pPr>
        <w:spacing w:after="200" w:line="360"/>
        <w:ind w:firstLine="720"/>
        <w:jc w:val="both"/>
      </w:pPr>
      <w:r>
        <w:rPr>
          <w:rFonts w:ascii="Times New Roman" w:cs="Times New Roman" w:eastAsia="Times New Roman" w:hAnsi="Times New Roman"/>
          <w:sz w:val="24"/>
          <w:szCs w:val="24"/>
        </w:rPr>
        <w:t xml:space="preserve">Era adjustment: The R coefficient normalizes for structural difficulty across eras. Achieving global reach in 1990 (pre-internet) was structurally harder than in 2020. The coefficient adjusts for this without penalizing either era.</w:t>
      </w:r>
    </w:p>
    <w:p>
      <w:pPr>
        <w:pStyle w:val="Heading2"/>
        <w:spacing w:before="300" w:after="150"/>
      </w:pPr>
      <w:r>
        <w:rPr>
          <w:rFonts w:ascii="Times New Roman" w:cs="Times New Roman" w:eastAsia="Times New Roman" w:hAnsi="Times New Roman"/>
          <w:b/>
          <w:bCs/>
          <w:sz w:val="24"/>
          <w:szCs w:val="24"/>
        </w:rPr>
        <w:t xml:space="preserve">2.3 Domain Instantiations</w:t>
      </w:r>
    </w:p>
    <w:p>
      <w:pPr>
        <w:spacing w:after="200" w:line="360"/>
        <w:jc w:val="both"/>
      </w:pPr>
      <w:r>
        <w:rPr>
          <w:rFonts w:ascii="Times New Roman" w:cs="Times New Roman" w:eastAsia="Times New Roman" w:hAnsi="Times New Roman"/>
          <w:sz w:val="24"/>
          <w:szCs w:val="24"/>
        </w:rPr>
        <w:t xml:space="preserve">The framework instantiates across four primary domains:</w:t>
      </w:r>
    </w:p>
    <w:p>
      <w:pPr>
        <w:spacing w:after="200" w:line="360"/>
        <w:jc w:val="both"/>
      </w:pPr>
      <w:r>
        <w:rPr>
          <w:rFonts w:ascii="Times New Roman" w:cs="Times New Roman" w:eastAsia="Times New Roman" w:hAnsi="Times New Roman"/>
          <w:sz w:val="24"/>
          <w:szCs w:val="24"/>
        </w:rPr>
        <w:t xml:space="preserve">TVI (True Viral Impact) for cultural content:</w:t>
      </w:r>
    </w:p>
    <w:p>
      <w:pPr>
        <w:spacing w:before="200" w:after="200"/>
        <w:jc w:val="center"/>
      </w:pPr>
      <w:r>
        <w:rPr>
          <w:rFonts w:ascii="Courier New" w:cs="Courier New" w:eastAsia="Courier New" w:hAnsi="Courier New"/>
          <w:sz w:val="24"/>
          <w:szCs w:val="24"/>
        </w:rPr>
        <w:t xml:space="preserve">S = (Views / A) / U × C</w:t>
      </w:r>
    </w:p>
    <w:p>
      <w:pPr>
        <w:spacing w:after="200" w:line="360"/>
        <w:jc w:val="both"/>
      </w:pPr>
      <w:r>
        <w:rPr>
          <w:rFonts w:ascii="Times New Roman" w:cs="Times New Roman" w:eastAsia="Times New Roman" w:hAnsi="Times New Roman"/>
          <w:sz w:val="24"/>
          <w:szCs w:val="24"/>
        </w:rPr>
        <w:t xml:space="preserve">Where A = account multiplication factor, U = platform users at peak, C = cross-platform coefficient.</w:t>
      </w:r>
    </w:p>
    <w:p>
      <w:pPr>
        <w:spacing w:after="200" w:line="360"/>
        <w:jc w:val="both"/>
      </w:pPr>
      <w:r>
        <w:rPr>
          <w:rFonts w:ascii="Times New Roman" w:cs="Times New Roman" w:eastAsia="Times New Roman" w:hAnsi="Times New Roman"/>
          <w:sz w:val="24"/>
          <w:szCs w:val="24"/>
        </w:rPr>
        <w:t xml:space="preserve">TVI-B (Business Methodology Impact):</w:t>
      </w:r>
    </w:p>
    <w:p>
      <w:pPr>
        <w:spacing w:before="200" w:after="200"/>
        <w:jc w:val="center"/>
      </w:pPr>
      <w:r>
        <w:rPr>
          <w:rFonts w:ascii="Courier New" w:cs="Courier New" w:eastAsia="Courier New" w:hAnsi="Courier New"/>
          <w:sz w:val="24"/>
          <w:szCs w:val="24"/>
        </w:rPr>
        <w:t xml:space="preserve">S = (Adoption × Years) / Market × Cross_Industry</w:t>
      </w:r>
    </w:p>
    <w:p>
      <w:pPr>
        <w:spacing w:after="200" w:line="360"/>
        <w:jc w:val="both"/>
      </w:pPr>
      <w:r>
        <w:rPr>
          <w:rFonts w:ascii="Times New Roman" w:cs="Times New Roman" w:eastAsia="Times New Roman" w:hAnsi="Times New Roman"/>
          <w:sz w:val="24"/>
          <w:szCs w:val="24"/>
        </w:rPr>
        <w:t xml:space="preserve">TDIS (Training Data Impact Score) for AI datasets:</w:t>
      </w:r>
    </w:p>
    <w:p>
      <w:pPr>
        <w:spacing w:before="200" w:after="200"/>
        <w:jc w:val="center"/>
      </w:pPr>
      <w:r>
        <w:rPr>
          <w:rFonts w:ascii="Courier New" w:cs="Courier New" w:eastAsia="Courier New" w:hAnsi="Courier New"/>
          <w:sz w:val="24"/>
          <w:szCs w:val="24"/>
        </w:rPr>
        <w:t xml:space="preserve">S = (Citations × Usage) / Researchers × Cross_Framework</w:t>
      </w:r>
    </w:p>
    <w:p>
      <w:pPr>
        <w:spacing w:after="200" w:line="360"/>
        <w:jc w:val="both"/>
      </w:pPr>
      <w:r>
        <w:rPr>
          <w:rFonts w:ascii="Times New Roman" w:cs="Times New Roman" w:eastAsia="Times New Roman" w:hAnsi="Times New Roman"/>
          <w:sz w:val="24"/>
          <w:szCs w:val="24"/>
        </w:rPr>
        <w:t xml:space="preserve">ISPS (Investment Staying Power Score):</w:t>
      </w:r>
    </w:p>
    <w:p>
      <w:pPr>
        <w:spacing w:before="200" w:after="200"/>
        <w:jc w:val="center"/>
      </w:pPr>
      <w:r>
        <w:rPr>
          <w:rFonts w:ascii="Courier New" w:cs="Courier New" w:eastAsia="Courier New" w:hAnsi="Courier New"/>
          <w:sz w:val="24"/>
          <w:szCs w:val="24"/>
        </w:rPr>
        <w:t xml:space="preserve">S = (Brand × Position) / Ecosystem × Cross_Asset × 100</w:t>
      </w:r>
    </w:p>
    <w:p>
      <w:r>
        <w:br w:type="page"/>
      </w:r>
    </w:p>
    <w:p>
      <w:pPr>
        <w:pStyle w:val="Heading1"/>
        <w:spacing w:before="400" w:after="200"/>
      </w:pPr>
      <w:r>
        <w:rPr>
          <w:rFonts w:ascii="Times New Roman" w:cs="Times New Roman" w:eastAsia="Times New Roman" w:hAnsi="Times New Roman"/>
          <w:b/>
          <w:bCs/>
          <w:sz w:val="28"/>
          <w:szCs w:val="28"/>
        </w:rPr>
        <w:t xml:space="preserve">3. Methods</w:t>
      </w:r>
    </w:p>
    <w:p>
      <w:pPr>
        <w:pStyle w:val="Heading2"/>
        <w:spacing w:before="300" w:after="150"/>
      </w:pPr>
      <w:r>
        <w:rPr>
          <w:rFonts w:ascii="Times New Roman" w:cs="Times New Roman" w:eastAsia="Times New Roman" w:hAnsi="Times New Roman"/>
          <w:b/>
          <w:bCs/>
          <w:sz w:val="24"/>
          <w:szCs w:val="24"/>
        </w:rPr>
        <w:t xml:space="preserve">3.1 Simulation Design</w:t>
      </w:r>
    </w:p>
    <w:p>
      <w:pPr>
        <w:spacing w:after="200" w:line="360"/>
        <w:jc w:val="both"/>
      </w:pPr>
      <w:r>
        <w:rPr>
          <w:rFonts w:ascii="Times New Roman" w:cs="Times New Roman" w:eastAsia="Times New Roman" w:hAnsi="Times New Roman"/>
          <w:sz w:val="24"/>
          <w:szCs w:val="24"/>
        </w:rPr>
        <w:t xml:space="preserve">We conducted Monte Carlo simulations to test whether cultural dynamics produce fractal patterns with D ≈ 1.7. The simulation modeled cultural attention as a stochastic process with the following characteristics:</w:t>
      </w:r>
    </w:p>
    <w:p>
      <w:pPr>
        <w:spacing w:after="200" w:line="360"/>
        <w:ind w:firstLine="720"/>
        <w:jc w:val="both"/>
      </w:pPr>
      <w:r>
        <w:rPr>
          <w:rFonts w:ascii="Times New Roman" w:cs="Times New Roman" w:eastAsia="Times New Roman" w:hAnsi="Times New Roman"/>
          <w:sz w:val="24"/>
          <w:szCs w:val="24"/>
        </w:rPr>
        <w:t xml:space="preserve">Base dynamics: Exponential decay with coefficient λ = 0.05 per time unit. Burst events: Power-law distributed (Pareto α = 1.5) occurring with probability p = 0.02 per time step. Background noise: Gaussian with σ = 0.5.</w:t>
      </w:r>
    </w:p>
    <w:p>
      <w:pPr>
        <w:spacing w:after="200" w:line="360"/>
        <w:ind w:firstLine="720"/>
        <w:jc w:val="both"/>
      </w:pPr>
      <w:r>
        <w:rPr>
          <w:rFonts w:ascii="Times New Roman" w:cs="Times New Roman" w:eastAsia="Times New Roman" w:hAnsi="Times New Roman"/>
          <w:sz w:val="24"/>
          <w:szCs w:val="24"/>
        </w:rPr>
        <w:t xml:space="preserve">This model captures the empirically observed pattern of cultural attention: gradual decay punctuated by occasional resurgences of varying magnitude.</w:t>
      </w:r>
    </w:p>
    <w:p>
      <w:pPr>
        <w:pStyle w:val="Heading2"/>
        <w:spacing w:before="300" w:after="150"/>
      </w:pPr>
      <w:r>
        <w:rPr>
          <w:rFonts w:ascii="Times New Roman" w:cs="Times New Roman" w:eastAsia="Times New Roman" w:hAnsi="Times New Roman"/>
          <w:b/>
          <w:bCs/>
          <w:sz w:val="24"/>
          <w:szCs w:val="24"/>
        </w:rPr>
        <w:t xml:space="preserve">3.2 Fractal Dimension Estimation</w:t>
      </w:r>
    </w:p>
    <w:p>
      <w:pPr>
        <w:spacing w:after="200" w:line="360"/>
        <w:jc w:val="both"/>
      </w:pPr>
      <w:r>
        <w:rPr>
          <w:rFonts w:ascii="Times New Roman" w:cs="Times New Roman" w:eastAsia="Times New Roman" w:hAnsi="Times New Roman"/>
          <w:sz w:val="24"/>
          <w:szCs w:val="24"/>
        </w:rPr>
        <w:t xml:space="preserve">We estimated fractal dimension using the Hurst exponent method (R/S analysis). For a self-affine time series, the fractal dimension D relates to the Hurst exponent H as:</w:t>
      </w:r>
    </w:p>
    <w:p>
      <w:pPr>
        <w:spacing w:before="200" w:after="200"/>
        <w:jc w:val="center"/>
      </w:pPr>
      <w:r>
        <w:rPr>
          <w:rFonts w:ascii="Courier New" w:cs="Courier New" w:eastAsia="Courier New" w:hAnsi="Courier New"/>
          <w:sz w:val="24"/>
          <w:szCs w:val="24"/>
        </w:rPr>
        <w:t xml:space="preserve">D = 2 - H</w:t>
      </w:r>
    </w:p>
    <w:p>
      <w:pPr>
        <w:spacing w:after="200" w:line="360"/>
        <w:jc w:val="both"/>
      </w:pPr>
      <w:r>
        <w:rPr>
          <w:rFonts w:ascii="Times New Roman" w:cs="Times New Roman" w:eastAsia="Times New Roman" w:hAnsi="Times New Roman"/>
          <w:sz w:val="24"/>
          <w:szCs w:val="24"/>
        </w:rPr>
        <w:t xml:space="preserve">The Hurst exponent was calculated by regressing log(R/S) against log(lag) across multiple lag values, where R/S is the rescaled range statistic.</w:t>
      </w:r>
    </w:p>
    <w:p>
      <w:pPr>
        <w:pStyle w:val="Heading2"/>
        <w:spacing w:before="300" w:after="150"/>
      </w:pPr>
      <w:r>
        <w:rPr>
          <w:rFonts w:ascii="Times New Roman" w:cs="Times New Roman" w:eastAsia="Times New Roman" w:hAnsi="Times New Roman"/>
          <w:b/>
          <w:bCs/>
          <w:sz w:val="24"/>
          <w:szCs w:val="24"/>
        </w:rPr>
        <w:t xml:space="preserve">3.3 Backtest Methodology</w:t>
      </w:r>
    </w:p>
    <w:p>
      <w:pPr>
        <w:spacing w:after="200" w:line="360"/>
        <w:jc w:val="both"/>
      </w:pPr>
      <w:r>
        <w:rPr>
          <w:rFonts w:ascii="Times New Roman" w:cs="Times New Roman" w:eastAsia="Times New Roman" w:hAnsi="Times New Roman"/>
          <w:sz w:val="24"/>
          <w:szCs w:val="24"/>
        </w:rPr>
        <w:t xml:space="preserve">We backtested the ISPS metric against historical crisis survival data using two datasets:</w:t>
      </w:r>
    </w:p>
    <w:p>
      <w:pPr>
        <w:spacing w:after="200" w:line="360"/>
        <w:ind w:firstLine="720"/>
        <w:jc w:val="both"/>
      </w:pPr>
      <w:r>
        <w:rPr>
          <w:rFonts w:ascii="Times New Roman" w:cs="Times New Roman" w:eastAsia="Times New Roman" w:hAnsi="Times New Roman"/>
          <w:sz w:val="24"/>
          <w:szCs w:val="24"/>
        </w:rPr>
        <w:t xml:space="preserve">2008 Financial Crisis: 15 major financial and consumer companies with known outcomes. COVID-19 Pandemic: 6 companies representing different sectors and ISPS profiles.</w:t>
      </w:r>
    </w:p>
    <w:p>
      <w:pPr>
        <w:spacing w:after="200" w:line="360"/>
        <w:ind w:firstLine="720"/>
        <w:jc w:val="both"/>
      </w:pPr>
      <w:r>
        <w:rPr>
          <w:rFonts w:ascii="Times New Roman" w:cs="Times New Roman" w:eastAsia="Times New Roman" w:hAnsi="Times New Roman"/>
          <w:sz w:val="24"/>
          <w:szCs w:val="24"/>
        </w:rPr>
        <w:t xml:space="preserve">For each company, we estimated ISPS values based on publicly available data from the year prior to crisis, then compared predictions against actual outcomes.</w:t>
      </w:r>
    </w:p>
    <w:p>
      <w:pPr>
        <w:pStyle w:val="Heading2"/>
        <w:spacing w:before="300" w:after="150"/>
      </w:pPr>
      <w:r>
        <w:rPr>
          <w:rFonts w:ascii="Times New Roman" w:cs="Times New Roman" w:eastAsia="Times New Roman" w:hAnsi="Times New Roman"/>
          <w:b/>
          <w:bCs/>
          <w:sz w:val="24"/>
          <w:szCs w:val="24"/>
        </w:rPr>
        <w:t xml:space="preserve">3.4 Civilization Survival Simulation</w:t>
      </w:r>
    </w:p>
    <w:p>
      <w:pPr>
        <w:spacing w:after="200" w:line="360"/>
        <w:jc w:val="both"/>
      </w:pPr>
      <w:r>
        <w:rPr>
          <w:rFonts w:ascii="Times New Roman" w:cs="Times New Roman" w:eastAsia="Times New Roman" w:hAnsi="Times New Roman"/>
          <w:sz w:val="24"/>
          <w:szCs w:val="24"/>
        </w:rPr>
        <w:t xml:space="preserve">We simulated 200 civilizations over 500-year periods with varying distributions of temporal thinking horizons (τ). Civilizations faced threats at multiple timescales:</w:t>
      </w:r>
    </w:p>
    <w:p>
      <w:pPr>
        <w:spacing w:after="200" w:line="360"/>
        <w:ind w:firstLine="720"/>
        <w:jc w:val="both"/>
      </w:pPr>
      <w:r>
        <w:rPr>
          <w:rFonts w:ascii="Times New Roman" w:cs="Times New Roman" w:eastAsia="Times New Roman" w:hAnsi="Times New Roman"/>
          <w:sz w:val="24"/>
          <w:szCs w:val="24"/>
        </w:rPr>
        <w:t xml:space="preserve">Short-term threats (annual, 10% probability): Requiring quarterly-horizon thinkers. Medium-term threats (decadal, 2% annual probability): Requiring decadal-horizon thinkers. Century-scale threats (every 50 years, 30% probability): Requiring civilizational-horizon thinkers.</w:t>
      </w:r>
    </w:p>
    <w:p>
      <w:pPr>
        <w:spacing w:after="200" w:line="360"/>
        <w:ind w:firstLine="720"/>
        <w:jc w:val="both"/>
      </w:pPr>
      <w:r>
        <w:rPr>
          <w:rFonts w:ascii="Times New Roman" w:cs="Times New Roman" w:eastAsia="Times New Roman" w:hAnsi="Times New Roman"/>
          <w:sz w:val="24"/>
          <w:szCs w:val="24"/>
        </w:rPr>
        <w:t xml:space="preserve">We tested four τ distributions to identify thresholds for long-term survival.</w:t>
      </w:r>
    </w:p>
    <w:p>
      <w:r>
        <w:br w:type="page"/>
      </w:r>
    </w:p>
    <w:p>
      <w:pPr>
        <w:pStyle w:val="Heading1"/>
        <w:spacing w:before="400" w:after="200"/>
      </w:pPr>
      <w:r>
        <w:rPr>
          <w:rFonts w:ascii="Times New Roman" w:cs="Times New Roman" w:eastAsia="Times New Roman" w:hAnsi="Times New Roman"/>
          <w:b/>
          <w:bCs/>
          <w:sz w:val="28"/>
          <w:szCs w:val="28"/>
        </w:rPr>
        <w:t xml:space="preserve">4. Results</w:t>
      </w:r>
    </w:p>
    <w:p>
      <w:pPr>
        <w:pStyle w:val="Heading2"/>
        <w:spacing w:before="300" w:after="150"/>
      </w:pPr>
      <w:r>
        <w:rPr>
          <w:rFonts w:ascii="Times New Roman" w:cs="Times New Roman" w:eastAsia="Times New Roman" w:hAnsi="Times New Roman"/>
          <w:b/>
          <w:bCs/>
          <w:sz w:val="24"/>
          <w:szCs w:val="24"/>
        </w:rPr>
        <w:t xml:space="preserve">4.1 Fractal Dimension</w:t>
      </w:r>
    </w:p>
    <w:p>
      <w:pPr>
        <w:spacing w:after="200" w:line="360"/>
        <w:jc w:val="both"/>
      </w:pPr>
      <w:r>
        <w:rPr>
          <w:rFonts w:ascii="Times New Roman" w:cs="Times New Roman" w:eastAsia="Times New Roman" w:hAnsi="Times New Roman"/>
          <w:sz w:val="24"/>
          <w:szCs w:val="24"/>
        </w:rPr>
        <w:t xml:space="preserve">The cultural dynamics simulation produced a Hurst exponent of H = 0.249, yielding a fractal dimension of:</w:t>
      </w:r>
    </w:p>
    <w:p>
      <w:pPr>
        <w:spacing w:before="200" w:after="200"/>
        <w:jc w:val="center"/>
      </w:pPr>
      <w:r>
        <w:rPr>
          <w:rFonts w:ascii="Courier New" w:cs="Courier New" w:eastAsia="Courier New" w:hAnsi="Courier New"/>
          <w:sz w:val="24"/>
          <w:szCs w:val="24"/>
        </w:rPr>
        <w:t xml:space="preserve">D = 2 - 0.249 = 1.751</w:t>
      </w:r>
    </w:p>
    <w:p>
      <w:pPr>
        <w:spacing w:after="200" w:line="360"/>
        <w:jc w:val="both"/>
      </w:pPr>
      <w:r>
        <w:rPr>
          <w:rFonts w:ascii="Times New Roman" w:cs="Times New Roman" w:eastAsia="Times New Roman" w:hAnsi="Times New Roman"/>
          <w:sz w:val="24"/>
          <w:szCs w:val="24"/>
        </w:rPr>
        <w:t xml:space="preserve">This result falls within 3% of our predicted value of D ≈ 1.7. For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Series Type</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Hurst (H)</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Fractal Dim (D)</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Interpretation</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Random Walk</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0.510</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1.490</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Brownian motion</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Persistent Process</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0.532</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1.468</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Trending</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Cultural Model</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0.249</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1.751</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Edge of chaos</w:t>
            </w:r>
          </w:p>
        </w:tc>
      </w:tr>
    </w:tbl>
    <w:p>
      <w:pPr>
        <w:spacing w:after="200" w:line="360"/>
        <w:jc w:val="both"/>
      </w:pPr>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sz w:val="24"/>
          <w:szCs w:val="24"/>
        </w:rPr>
        <w:t xml:space="preserve">The cultural model exhibits anti-persistent behavior (H &lt; 0.5), indicating mean-reverting dynamics with burst-driven excursions—consistent with the phenomenology of cultural attention.</w:t>
      </w:r>
    </w:p>
    <w:p>
      <w:pPr>
        <w:pStyle w:val="Heading2"/>
        <w:spacing w:before="300" w:after="150"/>
      </w:pPr>
      <w:r>
        <w:rPr>
          <w:rFonts w:ascii="Times New Roman" w:cs="Times New Roman" w:eastAsia="Times New Roman" w:hAnsi="Times New Roman"/>
          <w:b/>
          <w:bCs/>
          <w:sz w:val="24"/>
          <w:szCs w:val="24"/>
        </w:rPr>
        <w:t xml:space="preserve">4.2 ISPS Crisis Prediction</w:t>
      </w:r>
    </w:p>
    <w:p>
      <w:pPr>
        <w:spacing w:after="200" w:line="360"/>
        <w:jc w:val="both"/>
      </w:pPr>
      <w:r>
        <w:rPr>
          <w:rFonts w:ascii="Times New Roman" w:cs="Times New Roman" w:eastAsia="Times New Roman" w:hAnsi="Times New Roman"/>
          <w:sz w:val="24"/>
          <w:szCs w:val="24"/>
        </w:rPr>
        <w:t xml:space="preserve">The ISPS metric demonstrated strong predictive power for crisis survival: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ISPS Range</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Predicted Outcome</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Actual Collapse Rate</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Accuracy</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&lt; 20</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High collapse risk</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100%</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100%</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20-50</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Uncertain</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Variable</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N/A</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&gt; 50</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Likely survival</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0%</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100%</w:t>
            </w:r>
          </w:p>
        </w:tc>
      </w:tr>
    </w:tbl>
    <w:p>
      <w:pPr>
        <w:spacing w:after="200" w:line="360"/>
        <w:jc w:val="both"/>
      </w:pPr>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sz w:val="24"/>
          <w:szCs w:val="24"/>
        </w:rPr>
        <w:t xml:space="preserve">Notable predictions confirmed:</w:t>
      </w:r>
    </w:p>
    <w:p>
      <w:pPr>
        <w:spacing w:after="200" w:line="360"/>
        <w:ind w:firstLine="720"/>
        <w:jc w:val="both"/>
      </w:pPr>
      <w:r>
        <w:rPr>
          <w:rFonts w:ascii="Times New Roman" w:cs="Times New Roman" w:eastAsia="Times New Roman" w:hAnsi="Times New Roman"/>
          <w:sz w:val="24"/>
          <w:szCs w:val="24"/>
        </w:rPr>
        <w:t xml:space="preserve">Lehman Brothers (ISPS ≈ 14): Predicted high risk → Collapsed. Goldman Sachs (ISPS ≈ 67): Predicted survival → Survived. Apple (ISPS ≈ 312): Predicted strength → Thrived through crisis. Peloton (ISPS ≈ 10.5): Predicted fragility → Declined 85% post-COVID.</w:t>
      </w:r>
    </w:p>
    <w:p>
      <w:pPr>
        <w:pStyle w:val="Heading2"/>
        <w:spacing w:before="300" w:after="150"/>
      </w:pPr>
      <w:r>
        <w:rPr>
          <w:rFonts w:ascii="Times New Roman" w:cs="Times New Roman" w:eastAsia="Times New Roman" w:hAnsi="Times New Roman"/>
          <w:b/>
          <w:bCs/>
          <w:sz w:val="24"/>
          <w:szCs w:val="24"/>
        </w:rPr>
        <w:t xml:space="preserve">4.3 Memory Half-Life Validation</w:t>
      </w:r>
    </w:p>
    <w:p>
      <w:pPr>
        <w:spacing w:after="200" w:line="360"/>
        <w:jc w:val="both"/>
      </w:pPr>
      <w:r>
        <w:rPr>
          <w:rFonts w:ascii="Times New Roman" w:cs="Times New Roman" w:eastAsia="Times New Roman" w:hAnsi="Times New Roman"/>
          <w:sz w:val="24"/>
          <w:szCs w:val="24"/>
        </w:rPr>
        <w:t xml:space="preserve">Simulation of cultural memory decay by TVI tier produced results consistent with empirical observations: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TVI Tier</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Predicted Half-Life</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47-Day Retention</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10-Year Retention</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Ephemeral (&lt; 1)</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11 days</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&lt; 5%</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~0%</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Viral (1-5)</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6 months</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~70%</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&lt; 5%</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Cultural (5-15)</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4.2 years</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~95%</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~40%</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Foundation (30+)</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25+ years</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~99%</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~90%</w:t>
            </w:r>
          </w:p>
        </w:tc>
      </w:tr>
    </w:tbl>
    <w:p>
      <w:pPr>
        <w:spacing w:after="200" w:line="360"/>
        <w:jc w:val="both"/>
      </w:pPr>
      <w:r>
        <w:rPr>
          <w:rFonts w:ascii="Times New Roman" w:cs="Times New Roman" w:eastAsia="Times New Roman" w:hAnsi="Times New Roman"/>
          <w:sz w:val="24"/>
          <w:szCs w:val="24"/>
        </w:rPr>
        <w:t xml:space="preserve"/>
      </w:r>
    </w:p>
    <w:p>
      <w:pPr>
        <w:pStyle w:val="Heading2"/>
        <w:spacing w:before="300" w:after="150"/>
      </w:pPr>
      <w:r>
        <w:rPr>
          <w:rFonts w:ascii="Times New Roman" w:cs="Times New Roman" w:eastAsia="Times New Roman" w:hAnsi="Times New Roman"/>
          <w:b/>
          <w:bCs/>
          <w:sz w:val="24"/>
          <w:szCs w:val="24"/>
        </w:rPr>
        <w:t xml:space="preserve">4.4 Civilization Survival Thresholds</w:t>
      </w:r>
    </w:p>
    <w:p>
      <w:pPr>
        <w:spacing w:after="200" w:line="360"/>
        <w:jc w:val="both"/>
      </w:pPr>
      <w:r>
        <w:rPr>
          <w:rFonts w:ascii="Times New Roman" w:cs="Times New Roman" w:eastAsia="Times New Roman" w:hAnsi="Times New Roman"/>
          <w:sz w:val="24"/>
          <w:szCs w:val="24"/>
        </w:rPr>
        <w:t xml:space="preserve">The civilization simulation revealed a critical threshold at approximately 10% civilizational thinkers: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τ Distribution</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Civilizational %</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Avg Lifespan</w:t>
            </w:r>
          </w:p>
        </w:tc>
        <w:tc>
          <w:tcPr>
            <w:tcW w:type="dxa" w:w="2340"/>
            <w:tcBorders>
              <w:top w:val="single" w:color="000000" w:sz="1"/>
              <w:left w:val="single" w:color="000000" w:sz="1"/>
              <w:bottom w:val="single" w:color="000000" w:sz="1"/>
              <w:right w:val="single" w:color="000000" w:sz="1"/>
            </w:tcBorders>
            <w:shd w:fill="E8E8E8" w:val="clear"/>
            <w:tcMar>
              <w:top w:type="dxa" w:w="80"/>
              <w:left w:type="dxa" w:w="120"/>
              <w:bottom w:type="dxa" w:w="80"/>
              <w:right w:type="dxa" w:w="120"/>
            </w:tcMar>
          </w:tcPr>
          <w:p>
            <w:r>
              <w:rPr>
                <w:rFonts w:ascii="Times New Roman" w:cs="Times New Roman" w:eastAsia="Times New Roman" w:hAnsi="Times New Roman"/>
                <w:b/>
                <w:bCs/>
                <w:sz w:val="22"/>
                <w:szCs w:val="22"/>
              </w:rPr>
              <w:t xml:space="preserve">500-Year Survival</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Current estimate</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198 years</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8%</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5% civilizational</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5%</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240 years</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18%</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10% civilizational</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10%</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322 years</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36%</w:t>
            </w:r>
          </w:p>
        </w:tc>
      </w:tr>
      <w:tr>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20% civilizational</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20%</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500 years</w:t>
            </w:r>
          </w:p>
        </w:tc>
        <w:tc>
          <w:tcPr>
            <w:tcW w:type="dxa" w:w="234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2"/>
                <w:szCs w:val="22"/>
              </w:rPr>
              <w:t xml:space="preserve">100%</w:t>
            </w:r>
          </w:p>
        </w:tc>
      </w:tr>
    </w:tbl>
    <w:p>
      <w:pPr>
        <w:spacing w:after="200" w:line="360"/>
        <w:jc w:val="both"/>
      </w:pPr>
      <w:r>
        <w:rPr>
          <w:rFonts w:ascii="Times New Roman" w:cs="Times New Roman" w:eastAsia="Times New Roman" w:hAnsi="Times New Roman"/>
          <w:sz w:val="24"/>
          <w:szCs w:val="24"/>
        </w:rPr>
        <w:t xml:space="preserve"/>
      </w:r>
    </w:p>
    <w:p>
      <w:pPr>
        <w:spacing w:after="200" w:line="360"/>
        <w:jc w:val="both"/>
      </w:pPr>
      <w:r>
        <w:rPr>
          <w:rFonts w:ascii="Times New Roman" w:cs="Times New Roman" w:eastAsia="Times New Roman" w:hAnsi="Times New Roman"/>
          <w:sz w:val="24"/>
          <w:szCs w:val="24"/>
        </w:rPr>
        <w:t xml:space="preserve">The relationship between civilizational-thinker percentage and survival probability suggests a phase transition near the 10% threshold.</w:t>
      </w:r>
    </w:p>
    <w:p>
      <w:r>
        <w:br w:type="page"/>
      </w:r>
    </w:p>
    <w:p>
      <w:pPr>
        <w:pStyle w:val="Heading1"/>
        <w:spacing w:before="400" w:after="200"/>
      </w:pPr>
      <w:r>
        <w:rPr>
          <w:rFonts w:ascii="Times New Roman" w:cs="Times New Roman" w:eastAsia="Times New Roman" w:hAnsi="Times New Roman"/>
          <w:b/>
          <w:bCs/>
          <w:sz w:val="28"/>
          <w:szCs w:val="28"/>
        </w:rPr>
        <w:t xml:space="preserve">5. Discussion</w:t>
      </w:r>
    </w:p>
    <w:p>
      <w:pPr>
        <w:pStyle w:val="Heading2"/>
        <w:spacing w:before="300" w:after="150"/>
      </w:pPr>
      <w:r>
        <w:rPr>
          <w:rFonts w:ascii="Times New Roman" w:cs="Times New Roman" w:eastAsia="Times New Roman" w:hAnsi="Times New Roman"/>
          <w:b/>
          <w:bCs/>
          <w:sz w:val="24"/>
          <w:szCs w:val="24"/>
        </w:rPr>
        <w:t xml:space="preserve">5.1 Why D ≈ 1.7?</w:t>
      </w:r>
    </w:p>
    <w:p>
      <w:pPr>
        <w:spacing w:after="200" w:line="360"/>
        <w:jc w:val="both"/>
      </w:pPr>
      <w:r>
        <w:rPr>
          <w:rFonts w:ascii="Times New Roman" w:cs="Times New Roman" w:eastAsia="Times New Roman" w:hAnsi="Times New Roman"/>
          <w:sz w:val="24"/>
          <w:szCs w:val="24"/>
        </w:rPr>
        <w:t xml:space="preserve">The convergence of our measured fractal dimension (D = 1.751) with the theoretical prediction (D ≈ 1.7) and with natural distribution systems suggests a deep structural principle. We propose the following interpretation:</w:t>
      </w:r>
    </w:p>
    <w:p>
      <w:pPr>
        <w:spacing w:after="200" w:line="360"/>
        <w:ind w:firstLine="720"/>
        <w:jc w:val="both"/>
      </w:pPr>
      <w:r>
        <w:rPr>
          <w:rFonts w:ascii="Times New Roman" w:cs="Times New Roman" w:eastAsia="Times New Roman" w:hAnsi="Times New Roman"/>
          <w:sz w:val="24"/>
          <w:szCs w:val="24"/>
        </w:rPr>
        <w:t xml:space="preserve">D &lt; 1.5 (too ordered): Systems lack the branching complexity to achieve broad distribution. They are brittle and fail to adapt. D &gt; 1.9 (too chaotic): Systems lack the coherence to maintain structure. They dissipate without impact. D ≈ 1.7 (edge of chaos): Systems achieve optimal balance between reach and coherence. They can both spread widely and persist over time.</w:t>
      </w:r>
    </w:p>
    <w:p>
      <w:pPr>
        <w:spacing w:after="200" w:line="360"/>
        <w:ind w:firstLine="720"/>
        <w:jc w:val="both"/>
      </w:pPr>
      <w:r>
        <w:rPr>
          <w:rFonts w:ascii="Times New Roman" w:cs="Times New Roman" w:eastAsia="Times New Roman" w:hAnsi="Times New Roman"/>
          <w:sz w:val="24"/>
          <w:szCs w:val="24"/>
        </w:rPr>
        <w:t xml:space="preserve">This interpretation aligns with self-organized criticality theory, which predicts that complex adaptive systems naturally evolve toward critical states that maximize both stability and adaptability.</w:t>
      </w:r>
    </w:p>
    <w:p>
      <w:pPr>
        <w:pStyle w:val="Heading2"/>
        <w:spacing w:before="300" w:after="150"/>
      </w:pPr>
      <w:r>
        <w:rPr>
          <w:rFonts w:ascii="Times New Roman" w:cs="Times New Roman" w:eastAsia="Times New Roman" w:hAnsi="Times New Roman"/>
          <w:b/>
          <w:bCs/>
          <w:sz w:val="24"/>
          <w:szCs w:val="24"/>
        </w:rPr>
        <w:t xml:space="preserve">5.2 Implications for Measurement</w:t>
      </w:r>
    </w:p>
    <w:p>
      <w:pPr>
        <w:spacing w:after="200" w:line="360"/>
        <w:jc w:val="both"/>
      </w:pPr>
      <w:r>
        <w:rPr>
          <w:rFonts w:ascii="Times New Roman" w:cs="Times New Roman" w:eastAsia="Times New Roman" w:hAnsi="Times New Roman"/>
          <w:sz w:val="24"/>
          <w:szCs w:val="24"/>
        </w:rPr>
        <w:t xml:space="preserve">If cultural persistence follows fractal scaling, current measurement systems are fundamentally miscalibrated. Metrics that optimize for immediate scale (views, clicks, quarterly returns) systematically underweight durability. A properly calibrated measurement system would incorporate:</w:t>
      </w:r>
    </w:p>
    <w:p>
      <w:pPr>
        <w:spacing w:after="200" w:line="360"/>
        <w:ind w:firstLine="720"/>
        <w:jc w:val="both"/>
      </w:pPr>
      <w:r>
        <w:rPr>
          <w:rFonts w:ascii="Times New Roman" w:cs="Times New Roman" w:eastAsia="Times New Roman" w:hAnsi="Times New Roman"/>
          <w:sz w:val="24"/>
          <w:szCs w:val="24"/>
        </w:rPr>
        <w:t xml:space="preserve">Temporal validation: How long has this persisted? Structural resistance: How difficult was this to achieve in its era? Cross-domain spread: Has this transcended its original context?</w:t>
      </w:r>
    </w:p>
    <w:p>
      <w:pPr>
        <w:spacing w:after="200" w:line="360"/>
        <w:ind w:firstLine="720"/>
        <w:jc w:val="both"/>
      </w:pPr>
      <w:r>
        <w:rPr>
          <w:rFonts w:ascii="Times New Roman" w:cs="Times New Roman" w:eastAsia="Times New Roman" w:hAnsi="Times New Roman"/>
          <w:sz w:val="24"/>
          <w:szCs w:val="24"/>
        </w:rPr>
        <w:t xml:space="preserve">The TVI framework provides a first approximation of such a system.</w:t>
      </w:r>
    </w:p>
    <w:p>
      <w:pPr>
        <w:pStyle w:val="Heading2"/>
        <w:spacing w:before="300" w:after="150"/>
      </w:pPr>
      <w:r>
        <w:rPr>
          <w:rFonts w:ascii="Times New Roman" w:cs="Times New Roman" w:eastAsia="Times New Roman" w:hAnsi="Times New Roman"/>
          <w:b/>
          <w:bCs/>
          <w:sz w:val="24"/>
          <w:szCs w:val="24"/>
        </w:rPr>
        <w:t xml:space="preserve">5.3 Implications for Decision-Making</w:t>
      </w:r>
    </w:p>
    <w:p>
      <w:pPr>
        <w:spacing w:after="200" w:line="360"/>
        <w:jc w:val="both"/>
      </w:pPr>
      <w:r>
        <w:rPr>
          <w:rFonts w:ascii="Times New Roman" w:cs="Times New Roman" w:eastAsia="Times New Roman" w:hAnsi="Times New Roman"/>
          <w:sz w:val="24"/>
          <w:szCs w:val="24"/>
        </w:rPr>
        <w:t xml:space="preserve">The framework suggests a reorientation of decision-making from velocity to durability:</w:t>
      </w:r>
    </w:p>
    <w:p>
      <w:pPr>
        <w:spacing w:after="200" w:line="360"/>
        <w:ind w:firstLine="720"/>
        <w:jc w:val="both"/>
      </w:pPr>
      <w:r>
        <w:rPr>
          <w:rFonts w:ascii="Times New Roman" w:cs="Times New Roman" w:eastAsia="Times New Roman" w:hAnsi="Times New Roman"/>
          <w:sz w:val="24"/>
          <w:szCs w:val="24"/>
        </w:rPr>
        <w:t xml:space="preserve">Investment: ISPS-weighted portfolios would overweight companies with structural resilience rather than growth momentum. Education: Curricula would prioritize knowledge with demonstrated persistence (high TDIS) over recent developments. Policy: Institutions would be designed for D ≈ 1.7 balance between stability and adaptability.</w:t>
      </w:r>
    </w:p>
    <w:p>
      <w:pPr>
        <w:pStyle w:val="Heading2"/>
        <w:spacing w:before="300" w:after="150"/>
      </w:pPr>
      <w:r>
        <w:rPr>
          <w:rFonts w:ascii="Times New Roman" w:cs="Times New Roman" w:eastAsia="Times New Roman" w:hAnsi="Times New Roman"/>
          <w:b/>
          <w:bCs/>
          <w:sz w:val="24"/>
          <w:szCs w:val="24"/>
        </w:rPr>
        <w:t xml:space="preserve">5.4 Limitations</w:t>
      </w:r>
    </w:p>
    <w:p>
      <w:pPr>
        <w:spacing w:after="200" w:line="360"/>
        <w:jc w:val="both"/>
      </w:pPr>
      <w:r>
        <w:rPr>
          <w:rFonts w:ascii="Times New Roman" w:cs="Times New Roman" w:eastAsia="Times New Roman" w:hAnsi="Times New Roman"/>
          <w:sz w:val="24"/>
          <w:szCs w:val="24"/>
        </w:rPr>
        <w:t xml:space="preserve">This study has several important limitations:</w:t>
      </w:r>
    </w:p>
    <w:p>
      <w:pPr>
        <w:spacing w:after="200" w:line="360"/>
        <w:ind w:firstLine="720"/>
        <w:jc w:val="both"/>
      </w:pPr>
      <w:r>
        <w:rPr>
          <w:rFonts w:ascii="Times New Roman" w:cs="Times New Roman" w:eastAsia="Times New Roman" w:hAnsi="Times New Roman"/>
          <w:sz w:val="24"/>
          <w:szCs w:val="24"/>
        </w:rPr>
        <w:t xml:space="preserve">Simulation vs. empirical data: Our fractal dimension estimate comes from simulated cultural dynamics, not direct measurement of real cultural time series. Independent validation with Wikipedia pageviews, Twitter trends, and citation networks is required.</w:t>
      </w:r>
    </w:p>
    <w:p>
      <w:pPr>
        <w:spacing w:after="200" w:line="360"/>
        <w:ind w:firstLine="720"/>
        <w:jc w:val="both"/>
      </w:pPr>
      <w:r>
        <w:rPr>
          <w:rFonts w:ascii="Times New Roman" w:cs="Times New Roman" w:eastAsia="Times New Roman" w:hAnsi="Times New Roman"/>
          <w:sz w:val="24"/>
          <w:szCs w:val="24"/>
        </w:rPr>
        <w:t xml:space="preserve">Backtest sample size: The ISPS backtest used only 21 companies. Larger-scale validation is needed. Parameter sensitivity: The TVI formula contains parameters (SRC values, TVS weightings) that were estimated rather than derived. Sensitivity analysis would strengthen the framework.</w:t>
      </w:r>
    </w:p>
    <w:p>
      <w:r>
        <w:br w:type="page"/>
      </w:r>
    </w:p>
    <w:p>
      <w:pPr>
        <w:pStyle w:val="Heading1"/>
        <w:spacing w:before="400" w:after="200"/>
      </w:pPr>
      <w:r>
        <w:rPr>
          <w:rFonts w:ascii="Times New Roman" w:cs="Times New Roman" w:eastAsia="Times New Roman" w:hAnsi="Times New Roman"/>
          <w:b/>
          <w:bCs/>
          <w:sz w:val="28"/>
          <w:szCs w:val="28"/>
        </w:rPr>
        <w:t xml:space="preserve">6. Predictions and Testable Hypotheses</w:t>
      </w:r>
    </w:p>
    <w:p>
      <w:pPr>
        <w:spacing w:after="200" w:line="360"/>
        <w:jc w:val="both"/>
      </w:pPr>
      <w:r>
        <w:rPr>
          <w:rFonts w:ascii="Times New Roman" w:cs="Times New Roman" w:eastAsia="Times New Roman" w:hAnsi="Times New Roman"/>
          <w:sz w:val="24"/>
          <w:szCs w:val="24"/>
        </w:rPr>
        <w:t xml:space="preserve">We offer the following testable predictions:</w:t>
      </w:r>
    </w:p>
    <w:p>
      <w:pPr>
        <w:spacing w:after="200" w:line="360"/>
        <w:jc w:val="both"/>
      </w:pPr>
      <w:r>
        <w:rPr>
          <w:rFonts w:ascii="Times New Roman" w:cs="Times New Roman" w:eastAsia="Times New Roman" w:hAnsi="Times New Roman"/>
          <w:sz w:val="24"/>
          <w:szCs w:val="24"/>
        </w:rPr>
        <w:t xml:space="preserve">Prediction 1: Wikipedia pageview time series for culturally significant topics will exhibit fractal dimension D = 1.7 ± 0.2.</w:t>
      </w:r>
    </w:p>
    <w:p>
      <w:pPr>
        <w:spacing w:after="200" w:line="360"/>
        <w:jc w:val="both"/>
      </w:pPr>
      <w:r>
        <w:rPr>
          <w:rFonts w:ascii="Times New Roman" w:cs="Times New Roman" w:eastAsia="Times New Roman" w:hAnsi="Times New Roman"/>
          <w:sz w:val="24"/>
          <w:szCs w:val="24"/>
        </w:rPr>
        <w:t xml:space="preserve">Prediction 2: Twitter trend decay curves will follow power-law scaling with exponent α ≈ 0.7 (derived from D ≈ 1.7).</w:t>
      </w:r>
    </w:p>
    <w:p>
      <w:pPr>
        <w:spacing w:after="200" w:line="360"/>
        <w:jc w:val="both"/>
      </w:pPr>
      <w:r>
        <w:rPr>
          <w:rFonts w:ascii="Times New Roman" w:cs="Times New Roman" w:eastAsia="Times New Roman" w:hAnsi="Times New Roman"/>
          <w:sz w:val="24"/>
          <w:szCs w:val="24"/>
        </w:rPr>
        <w:t xml:space="preserve">Prediction 3: Academic citation networks will show fractal branching with D ≈ 1.7.</w:t>
      </w:r>
    </w:p>
    <w:p>
      <w:pPr>
        <w:spacing w:after="200" w:line="360"/>
        <w:jc w:val="both"/>
      </w:pPr>
      <w:r>
        <w:rPr>
          <w:rFonts w:ascii="Times New Roman" w:cs="Times New Roman" w:eastAsia="Times New Roman" w:hAnsi="Times New Roman"/>
          <w:sz w:val="24"/>
          <w:szCs w:val="24"/>
        </w:rPr>
        <w:t xml:space="preserve">Prediction 4: Companies with ISPS &gt; 50 will survive the next major economic crisis at rates &gt; 85%.</w:t>
      </w:r>
    </w:p>
    <w:p>
      <w:pPr>
        <w:spacing w:after="200" w:line="360"/>
        <w:jc w:val="both"/>
      </w:pPr>
      <w:r>
        <w:rPr>
          <w:rFonts w:ascii="Times New Roman" w:cs="Times New Roman" w:eastAsia="Times New Roman" w:hAnsi="Times New Roman"/>
          <w:sz w:val="24"/>
          <w:szCs w:val="24"/>
        </w:rPr>
        <w:t xml:space="preserve">Prediction 5: AI models trained on high-TDIS datasets will show greater robustness to distribution shift than those trained on recent data.</w:t>
      </w:r>
    </w:p>
    <w:p>
      <w:pPr>
        <w:spacing w:after="200" w:line="360"/>
        <w:jc w:val="both"/>
      </w:pPr>
      <w:r>
        <w:rPr>
          <w:rFonts w:ascii="Times New Roman" w:cs="Times New Roman" w:eastAsia="Times New Roman" w:hAnsi="Times New Roman"/>
          <w:sz w:val="24"/>
          <w:szCs w:val="24"/>
        </w:rPr>
        <w:t xml:space="preserve">We invite researchers with access to relevant datasets to test these predictions and report results.</w:t>
      </w:r>
    </w:p>
    <w:p>
      <w:pPr>
        <w:pStyle w:val="Heading1"/>
        <w:spacing w:before="400" w:after="200"/>
      </w:pPr>
      <w:r>
        <w:rPr>
          <w:rFonts w:ascii="Times New Roman" w:cs="Times New Roman" w:eastAsia="Times New Roman" w:hAnsi="Times New Roman"/>
          <w:b/>
          <w:bCs/>
          <w:sz w:val="28"/>
          <w:szCs w:val="28"/>
        </w:rPr>
        <w:t xml:space="preserve">7. Conclusion</w:t>
      </w:r>
    </w:p>
    <w:p>
      <w:pPr>
        <w:spacing w:after="200" w:line="360"/>
        <w:jc w:val="both"/>
      </w:pPr>
      <w:r>
        <w:rPr>
          <w:rFonts w:ascii="Times New Roman" w:cs="Times New Roman" w:eastAsia="Times New Roman" w:hAnsi="Times New Roman"/>
          <w:sz w:val="24"/>
          <w:szCs w:val="24"/>
        </w:rPr>
        <w:t xml:space="preserve">We have presented evidence for a universal fractal scaling law in cultural persistence, with dimension D ≈ 1.7 matching natural distribution systems. The Temporal Validation Index framework provides tools for measuring this dimension across viral content, business methodologies, AI training data, and financial investments.</w:t>
      </w:r>
    </w:p>
    <w:p>
      <w:pPr>
        <w:spacing w:after="200" w:line="360"/>
        <w:ind w:firstLine="720"/>
        <w:jc w:val="both"/>
      </w:pPr>
      <w:r>
        <w:rPr>
          <w:rFonts w:ascii="Times New Roman" w:cs="Times New Roman" w:eastAsia="Times New Roman" w:hAnsi="Times New Roman"/>
          <w:sz w:val="24"/>
          <w:szCs w:val="24"/>
        </w:rPr>
        <w:t xml:space="preserve">If confirmed through independent validation, this finding would represent the first quantitative law of cultural evolution—a mathematical principle governing how meaning persists across time. The practical implications span investment strategy, educational curriculum design, institutional architecture, and AI training methodology.</w:t>
      </w:r>
    </w:p>
    <w:p>
      <w:pPr>
        <w:spacing w:after="200" w:line="360"/>
        <w:ind w:firstLine="720"/>
        <w:jc w:val="both"/>
      </w:pPr>
      <w:r>
        <w:rPr>
          <w:rFonts w:ascii="Times New Roman" w:cs="Times New Roman" w:eastAsia="Times New Roman" w:hAnsi="Times New Roman"/>
          <w:sz w:val="24"/>
          <w:szCs w:val="24"/>
        </w:rPr>
        <w:t xml:space="preserve">We release all code and data openly and invite collaboration from researchers across disciplines. The question of whether culture obeys universal scaling laws is too important to answer alone.</w:t>
      </w:r>
    </w:p>
    <w:p>
      <w:r>
        <w:br w:type="page"/>
      </w:r>
    </w:p>
    <w:p>
      <w:pPr>
        <w:pStyle w:val="Heading1"/>
        <w:spacing w:before="400" w:after="200"/>
      </w:pPr>
      <w:r>
        <w:rPr>
          <w:rFonts w:ascii="Times New Roman" w:cs="Times New Roman" w:eastAsia="Times New Roman" w:hAnsi="Times New Roman"/>
          <w:b/>
          <w:bCs/>
          <w:sz w:val="28"/>
          <w:szCs w:val="28"/>
        </w:rPr>
        <w:t xml:space="preserve">8. Data Availability and Resources</w:t>
      </w:r>
    </w:p>
    <w:p>
      <w:pPr>
        <w:spacing w:after="200" w:line="360"/>
        <w:jc w:val="both"/>
      </w:pPr>
      <w:r>
        <w:rPr>
          <w:rFonts w:ascii="Times New Roman" w:cs="Times New Roman" w:eastAsia="Times New Roman" w:hAnsi="Times New Roman"/>
          <w:sz w:val="24"/>
          <w:szCs w:val="24"/>
        </w:rPr>
        <w:t xml:space="preserve">All materials associated with this research are publicly available:</w:t>
      </w:r>
    </w:p>
    <w:p>
      <w:pPr>
        <w:spacing w:after="200" w:line="360"/>
        <w:jc w:val="both"/>
      </w:pPr>
      <w:r>
        <w:rPr>
          <w:rFonts w:ascii="Times New Roman" w:cs="Times New Roman" w:eastAsia="Times New Roman" w:hAnsi="Times New Roman"/>
          <w:sz w:val="24"/>
          <w:szCs w:val="24"/>
        </w:rPr>
        <w:t xml:space="preserve">Live Calculator: https://temporal-engine.netlify.app</w:t>
      </w:r>
    </w:p>
    <w:p>
      <w:pPr>
        <w:spacing w:after="200" w:line="360"/>
        <w:jc w:val="both"/>
      </w:pPr>
      <w:r>
        <w:rPr>
          <w:rFonts w:ascii="Times New Roman" w:cs="Times New Roman" w:eastAsia="Times New Roman" w:hAnsi="Times New Roman"/>
          <w:sz w:val="24"/>
          <w:szCs w:val="24"/>
        </w:rPr>
        <w:t xml:space="preserve">Source Code: https://github.com/temporal-validation/framework</w:t>
      </w:r>
    </w:p>
    <w:p>
      <w:pPr>
        <w:spacing w:after="200" w:line="360"/>
        <w:jc w:val="both"/>
      </w:pPr>
      <w:r>
        <w:rPr>
          <w:rFonts w:ascii="Times New Roman" w:cs="Times New Roman" w:eastAsia="Times New Roman" w:hAnsi="Times New Roman"/>
          <w:sz w:val="24"/>
          <w:szCs w:val="24"/>
        </w:rPr>
        <w:t xml:space="preserve">Simulation Code: Included as supplementary material</w:t>
      </w:r>
    </w:p>
    <w:p>
      <w:pPr>
        <w:spacing w:after="200" w:line="360"/>
        <w:jc w:val="both"/>
      </w:pPr>
      <w:r>
        <w:rPr>
          <w:rFonts w:ascii="Times New Roman" w:cs="Times New Roman" w:eastAsia="Times New Roman" w:hAnsi="Times New Roman"/>
          <w:sz w:val="24"/>
          <w:szCs w:val="24"/>
        </w:rPr>
        <w:t xml:space="preserve">Contact: carl@temporal-engine.com</w:t>
      </w:r>
    </w:p>
    <w:p>
      <w:pPr>
        <w:spacing w:after="200" w:line="360"/>
        <w:jc w:val="both"/>
      </w:pPr>
      <w:r>
        <w:rPr>
          <w:rFonts w:ascii="Times New Roman" w:cs="Times New Roman" w:eastAsia="Times New Roman" w:hAnsi="Times New Roman"/>
          <w:sz w:val="24"/>
          <w:szCs w:val="24"/>
        </w:rPr>
        <w:t xml:space="preserve">Collaboration inquiries welcome. Co-authorship offered for substantive data contributions.</w:t>
      </w:r>
    </w:p>
    <w:p>
      <w:pPr>
        <w:pStyle w:val="Heading1"/>
        <w:spacing w:before="400" w:after="200"/>
      </w:pPr>
      <w:r>
        <w:rPr>
          <w:rFonts w:ascii="Times New Roman" w:cs="Times New Roman" w:eastAsia="Times New Roman" w:hAnsi="Times New Roman"/>
          <w:b/>
          <w:bCs/>
          <w:sz w:val="28"/>
          <w:szCs w:val="28"/>
        </w:rPr>
        <w:t xml:space="preserve">References</w:t>
      </w:r>
    </w:p>
    <w:p>
      <w:pPr>
        <w:spacing w:after="200" w:line="360"/>
        <w:jc w:val="both"/>
      </w:pPr>
      <w:r>
        <w:rPr>
          <w:rFonts w:ascii="Times New Roman" w:cs="Times New Roman" w:eastAsia="Times New Roman" w:hAnsi="Times New Roman"/>
          <w:sz w:val="24"/>
          <w:szCs w:val="24"/>
        </w:rPr>
        <w:t xml:space="preserve">[1] Mandelbrot, B. B. (1982). The Fractal Geometry of Nature. W. H. Freeman.</w:t>
      </w:r>
    </w:p>
    <w:p>
      <w:pPr>
        <w:spacing w:after="200" w:line="360"/>
        <w:jc w:val="both"/>
      </w:pPr>
      <w:r>
        <w:rPr>
          <w:rFonts w:ascii="Times New Roman" w:cs="Times New Roman" w:eastAsia="Times New Roman" w:hAnsi="Times New Roman"/>
          <w:sz w:val="24"/>
          <w:szCs w:val="24"/>
        </w:rPr>
        <w:t xml:space="preserve">[2] Bak, P. (1996). How Nature Works: The Science of Self-Organized Criticality. Copernicus.</w:t>
      </w:r>
    </w:p>
    <w:p>
      <w:pPr>
        <w:spacing w:after="200" w:line="360"/>
        <w:jc w:val="both"/>
      </w:pPr>
      <w:r>
        <w:rPr>
          <w:rFonts w:ascii="Times New Roman" w:cs="Times New Roman" w:eastAsia="Times New Roman" w:hAnsi="Times New Roman"/>
          <w:sz w:val="24"/>
          <w:szCs w:val="24"/>
        </w:rPr>
        <w:t xml:space="preserve">[3] West, G. B., Brown, J. H., &amp; Enquist, B. J. (1997). A general model for the origin of allometric scaling laws in biology. Science, 276(5309), 122-126.</w:t>
      </w:r>
    </w:p>
    <w:p>
      <w:pPr>
        <w:spacing w:after="200" w:line="360"/>
        <w:jc w:val="both"/>
      </w:pPr>
      <w:r>
        <w:rPr>
          <w:rFonts w:ascii="Times New Roman" w:cs="Times New Roman" w:eastAsia="Times New Roman" w:hAnsi="Times New Roman"/>
          <w:sz w:val="24"/>
          <w:szCs w:val="24"/>
        </w:rPr>
        <w:t xml:space="preserve">[4] Clauset, A., Shalizi, C. R., &amp; Newman, M. E. (2009). Power-law distributions in empirical data. SIAM Review, 51(4), 661-703.</w:t>
      </w:r>
    </w:p>
    <w:p>
      <w:pPr>
        <w:spacing w:after="200" w:line="360"/>
        <w:jc w:val="both"/>
      </w:pPr>
      <w:r>
        <w:rPr>
          <w:rFonts w:ascii="Times New Roman" w:cs="Times New Roman" w:eastAsia="Times New Roman" w:hAnsi="Times New Roman"/>
          <w:sz w:val="24"/>
          <w:szCs w:val="24"/>
        </w:rPr>
        <w:t xml:space="preserve">[5] Barabási, A. L. (2005). The origin of bursts and heavy tails in human dynamics. Nature, 435(7039), 207-211.</w:t>
      </w:r>
    </w:p>
    <w:p>
      <w:pPr>
        <w:spacing w:after="200" w:line="360"/>
        <w:jc w:val="both"/>
      </w:pPr>
      <w:r>
        <w:rPr>
          <w:rFonts w:ascii="Times New Roman" w:cs="Times New Roman" w:eastAsia="Times New Roman" w:hAnsi="Times New Roman"/>
          <w:sz w:val="24"/>
          <w:szCs w:val="24"/>
        </w:rPr>
        <w:t xml:space="preserve">[6] Wu, F., &amp; Huberman, B. A. (2007). Novelty and collective attention. PNAS, 104(45), 17599-17601.</w:t>
      </w:r>
    </w:p>
    <w:p>
      <w:pPr>
        <w:spacing w:after="200" w:line="360"/>
        <w:jc w:val="both"/>
      </w:pPr>
      <w:r>
        <w:rPr>
          <w:rFonts w:ascii="Times New Roman" w:cs="Times New Roman" w:eastAsia="Times New Roman" w:hAnsi="Times New Roman"/>
          <w:sz w:val="24"/>
          <w:szCs w:val="24"/>
        </w:rPr>
        <w:t xml:space="preserve">[7] Cancho, R. F., &amp; Solé, R. V. (2003). Least effort and the origins of scaling in human language. PNAS, 100(3), 788-791.</w:t>
      </w:r>
    </w:p>
    <w:p>
      <w:pPr>
        <w:spacing w:after="200" w:line="360"/>
        <w:jc w:val="both"/>
      </w:pPr>
      <w:r>
        <w:rPr>
          <w:rFonts w:ascii="Times New Roman" w:cs="Times New Roman" w:eastAsia="Times New Roman" w:hAnsi="Times New Roman"/>
          <w:sz w:val="24"/>
          <w:szCs w:val="24"/>
        </w:rPr>
        <w:t xml:space="preserve">[8] Simkin, M. V., &amp; Roychowdhury, V. P. (2011). Re-inventing Willis. Physics Reports, 502(1), 1-35.</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2026-01-16T00:52:22.820Z</dcterms:created>
  <dcterms:modified xsi:type="dcterms:W3CDTF">2026-01-16T00:52:22.821Z</dcterms:modified>
</cp:coreProperties>
</file>

<file path=docProps/custom.xml><?xml version="1.0" encoding="utf-8"?>
<Properties xmlns="http://schemas.openxmlformats.org/officeDocument/2006/custom-properties" xmlns:vt="http://schemas.openxmlformats.org/officeDocument/2006/docPropsVTypes"/>
</file>