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d60747e597efa1143c8f70553603846049188f4"/>
    <w:p>
      <w:pPr>
        <w:pStyle w:val="Heading1"/>
      </w:pPr>
      <w:r>
        <w:t xml:space="preserve">Engineering Change Impact Report (ECIR) Concept for Production Home‑Building</w:t>
      </w:r>
    </w:p>
    <w:bookmarkStart w:id="44" w:name="industry-background-on-ecir-practices"/>
    <w:p>
      <w:pPr>
        <w:pStyle w:val="Heading2"/>
      </w:pPr>
      <w:r>
        <w:t xml:space="preserve">1. Industry background on ECIR practices</w:t>
      </w:r>
    </w:p>
    <w:bookmarkStart w:id="30" w:name="X6c6e16df8c8b4d747ba6ffe071a9a03d90e8670"/>
    <w:p>
      <w:pPr>
        <w:pStyle w:val="Heading3"/>
      </w:pPr>
      <w:r>
        <w:t xml:space="preserve">1.1 Change orders and engineering changes in construction</w:t>
      </w:r>
    </w:p>
    <w:p>
      <w:pPr>
        <w:pStyle w:val="FirstParagraph"/>
      </w:pPr>
      <w:r>
        <w:t xml:space="preserve">In residential construction and production home‑building, changes to structural elements (e.g., glulam sizes, hold‑downs and strapping details) often occur after the original design is issued. These changes may be triggered by customer requests, supply‑chain issues or errors in the original plan. The change order process is therefore considered a</w:t>
      </w:r>
      <w:r>
        <w:t xml:space="preserve"> </w:t>
      </w:r>
      <w:r>
        <w:rPr>
          <w:b/>
          <w:bCs/>
        </w:rPr>
        <w:t xml:space="preserve">safety valve</w:t>
      </w:r>
      <w:r>
        <w:t xml:space="preserve"> </w:t>
      </w:r>
      <w:r>
        <w:t xml:space="preserve">in construction – it allows the project scope, schedule and cost to be amended when needed</w:t>
      </w:r>
      <w:hyperlink r:id="rId21">
        <w:r>
          <w:rPr>
            <w:rStyle w:val="Hyperlink"/>
          </w:rPr>
          <w:t xml:space="preserve">[1]</w:t>
        </w:r>
      </w:hyperlink>
      <w:r>
        <w:t xml:space="preserve">. Change orders provide</w:t>
      </w:r>
      <w:r>
        <w:t xml:space="preserve"> </w:t>
      </w:r>
      <w:r>
        <w:rPr>
          <w:i/>
          <w:iCs/>
        </w:rPr>
        <w:t xml:space="preserve">clear documentation</w:t>
      </w:r>
      <w:r>
        <w:t xml:space="preserve"> </w:t>
      </w:r>
      <w:r>
        <w:t xml:space="preserve">of customer changes, job‑site issues or material cost increases</w:t>
      </w:r>
      <w:hyperlink r:id="rId21">
        <w:r>
          <w:rPr>
            <w:rStyle w:val="Hyperlink"/>
          </w:rPr>
          <w:t xml:space="preserve">[1]</w:t>
        </w:r>
      </w:hyperlink>
      <w:r>
        <w:t xml:space="preserve"> </w:t>
      </w:r>
      <w:r>
        <w:t xml:space="preserve">and ensure that contractors, subcontractors and clients agree on the revised scope, timeline and cost</w:t>
      </w:r>
      <w:hyperlink r:id="rId21">
        <w:r>
          <w:rPr>
            <w:rStyle w:val="Hyperlink"/>
          </w:rPr>
          <w:t xml:space="preserve">[1]</w:t>
        </w:r>
      </w:hyperlink>
      <w:r>
        <w:t xml:space="preserve">.</w:t>
      </w:r>
    </w:p>
    <w:p>
      <w:pPr>
        <w:pStyle w:val="BodyText"/>
      </w:pPr>
      <w:r>
        <w:t xml:space="preserve">Common triggers for change orders include customer‑initiated upgrades or deletions, contractor‑initiated changes due to unforeseen site conditions or drawing errors, and external factors such as permitting issues or natural events</w:t>
      </w:r>
      <w:hyperlink r:id="rId22">
        <w:r>
          <w:rPr>
            <w:rStyle w:val="Hyperlink"/>
          </w:rPr>
          <w:t xml:space="preserve">[2]</w:t>
        </w:r>
      </w:hyperlink>
      <w:r>
        <w:t xml:space="preserve">. When handled poorly, even small changes can create a domino effect that delays schedules and increases costs</w:t>
      </w:r>
      <w:hyperlink r:id="rId23">
        <w:r>
          <w:rPr>
            <w:rStyle w:val="Hyperlink"/>
          </w:rPr>
          <w:t xml:space="preserve">[3]</w:t>
        </w:r>
      </w:hyperlink>
      <w:r>
        <w:t xml:space="preserve">. To avoid disputes, industry guidance emphasises the use of standardized templates and formal approval processes, capturing project information, detailed descriptions, schedule impacts, cost breakdowns and signatures</w:t>
      </w:r>
      <w:hyperlink r:id="rId24">
        <w:r>
          <w:rPr>
            <w:rStyle w:val="Hyperlink"/>
          </w:rPr>
          <w:t xml:space="preserve">[4]</w:t>
        </w:r>
      </w:hyperlink>
      <w:r>
        <w:t xml:space="preserve">.</w:t>
      </w:r>
    </w:p>
    <w:p>
      <w:pPr>
        <w:pStyle w:val="BodyText"/>
      </w:pPr>
      <w:r>
        <w:t xml:space="preserve">The</w:t>
      </w:r>
      <w:r>
        <w:t xml:space="preserve"> </w:t>
      </w:r>
      <w:r>
        <w:rPr>
          <w:i/>
          <w:iCs/>
        </w:rPr>
        <w:t xml:space="preserve">9‑step change‑order management framework</w:t>
      </w:r>
      <w:r>
        <w:t xml:space="preserve"> </w:t>
      </w:r>
      <w:r>
        <w:t xml:space="preserve">promoted by construction technology firms provides practical steps: (1)</w:t>
      </w:r>
      <w:r>
        <w:t xml:space="preserve"> </w:t>
      </w:r>
      <w:r>
        <w:rPr>
          <w:b/>
          <w:bCs/>
        </w:rPr>
        <w:t xml:space="preserve">log and document the change immediately</w:t>
      </w:r>
      <w:r>
        <w:t xml:space="preserve">, with photos or scans to record what, where and when</w:t>
      </w:r>
      <w:hyperlink r:id="rId25">
        <w:r>
          <w:rPr>
            <w:rStyle w:val="Hyperlink"/>
          </w:rPr>
          <w:t xml:space="preserve">[5]</w:t>
        </w:r>
      </w:hyperlink>
      <w:r>
        <w:t xml:space="preserve">; (2)</w:t>
      </w:r>
      <w:r>
        <w:t xml:space="preserve"> </w:t>
      </w:r>
      <w:r>
        <w:rPr>
          <w:b/>
          <w:bCs/>
        </w:rPr>
        <w:t xml:space="preserve">clarify scope and design impacts</w:t>
      </w:r>
      <w:r>
        <w:t xml:space="preserve"> </w:t>
      </w:r>
      <w:r>
        <w:t xml:space="preserve">with the architect/engineer and update drawings so small discrepancies don’t snowball into disputes</w:t>
      </w:r>
      <w:hyperlink r:id="rId26">
        <w:r>
          <w:rPr>
            <w:rStyle w:val="Hyperlink"/>
          </w:rPr>
          <w:t xml:space="preserve">[6]</w:t>
        </w:r>
      </w:hyperlink>
      <w:r>
        <w:t xml:space="preserve">; (3)</w:t>
      </w:r>
      <w:r>
        <w:t xml:space="preserve"> </w:t>
      </w:r>
      <w:r>
        <w:rPr>
          <w:b/>
          <w:bCs/>
        </w:rPr>
        <w:t xml:space="preserve">calculate reliable budget and schedule adjustments</w:t>
      </w:r>
      <w:r>
        <w:t xml:space="preserve">, considering labour, materials, equipment, overhead, logistics and downstream trades</w:t>
      </w:r>
      <w:hyperlink r:id="rId27">
        <w:r>
          <w:rPr>
            <w:rStyle w:val="Hyperlink"/>
          </w:rPr>
          <w:t xml:space="preserve">[7]</w:t>
        </w:r>
      </w:hyperlink>
      <w:r>
        <w:t xml:space="preserve">; (4)</w:t>
      </w:r>
      <w:r>
        <w:t xml:space="preserve"> </w:t>
      </w:r>
      <w:r>
        <w:rPr>
          <w:b/>
          <w:bCs/>
        </w:rPr>
        <w:t xml:space="preserve">draft a complete change‑order package</w:t>
      </w:r>
      <w:r>
        <w:t xml:space="preserve"> </w:t>
      </w:r>
      <w:r>
        <w:t xml:space="preserve">that includes a concise scope narrative, revised drawings, cost breakdown and supporting references</w:t>
      </w:r>
      <w:hyperlink r:id="rId28">
        <w:r>
          <w:rPr>
            <w:rStyle w:val="Hyperlink"/>
          </w:rPr>
          <w:t xml:space="preserve">[8]</w:t>
        </w:r>
      </w:hyperlink>
      <w:r>
        <w:t xml:space="preserve">; (5) negotiate transparently, using a shared “single source of truth” such as a digital twin to avoid misinterpretation</w:t>
      </w:r>
      <w:hyperlink r:id="rId29">
        <w:r>
          <w:rPr>
            <w:rStyle w:val="Hyperlink"/>
          </w:rPr>
          <w:t xml:space="preserve">[9]</w:t>
        </w:r>
      </w:hyperlink>
      <w:r>
        <w:t xml:space="preserve">; (6) obtain sign‑offs; and (7) monitor implementation.</w:t>
      </w:r>
    </w:p>
    <w:bookmarkEnd w:id="30"/>
    <w:bookmarkStart w:id="42" w:name="X0c4c0e4bef925fa2918ea7ff54eca97ae69d5f2"/>
    <w:p>
      <w:pPr>
        <w:pStyle w:val="Heading3"/>
      </w:pPr>
      <w:r>
        <w:t xml:space="preserve">1.2 Engineering change orders (ECO/ECR) and best practices</w:t>
      </w:r>
    </w:p>
    <w:p>
      <w:pPr>
        <w:pStyle w:val="FirstParagraph"/>
      </w:pPr>
      <w:r>
        <w:t xml:space="preserve">In manufacturing and engineering, a formal</w:t>
      </w:r>
      <w:r>
        <w:t xml:space="preserve"> </w:t>
      </w:r>
      <w:r>
        <w:rPr>
          <w:b/>
          <w:bCs/>
        </w:rPr>
        <w:t xml:space="preserve">Engineering Change Order (ECO)</w:t>
      </w:r>
      <w:r>
        <w:t xml:space="preserve"> </w:t>
      </w:r>
      <w:r>
        <w:t xml:space="preserve">or</w:t>
      </w:r>
      <w:r>
        <w:t xml:space="preserve"> </w:t>
      </w:r>
      <w:r>
        <w:rPr>
          <w:b/>
          <w:bCs/>
        </w:rPr>
        <w:t xml:space="preserve">Engineering Change Request (ECR)</w:t>
      </w:r>
      <w:r>
        <w:t xml:space="preserve"> </w:t>
      </w:r>
      <w:r>
        <w:t xml:space="preserve">is used to propose, evaluate and implement design changes. An ECO includes the reason for the change, affected parts, updated drawings and relevant cost information, and it goes through review and approval by engineering, quality, procurement and manufacturing stakeholders</w:t>
      </w:r>
      <w:hyperlink r:id="rId31">
        <w:r>
          <w:rPr>
            <w:rStyle w:val="Hyperlink"/>
          </w:rPr>
          <w:t xml:space="preserve">[10]</w:t>
        </w:r>
      </w:hyperlink>
      <w:r>
        <w:t xml:space="preserve">. Common triggers for ECOs include documentation updates, design modifications, regulatory changes, material substitutions and quality or safety issues</w:t>
      </w:r>
      <w:hyperlink r:id="rId32">
        <w:r>
          <w:rPr>
            <w:rStyle w:val="Hyperlink"/>
          </w:rPr>
          <w:t xml:space="preserve">[11]</w:t>
        </w:r>
      </w:hyperlink>
      <w:r>
        <w:t xml:space="preserve">. A well‑defined ECO process ensures that changes are systematically evaluated, approved and documented, reducing risks and preventing errors</w:t>
      </w:r>
      <w:hyperlink r:id="rId33">
        <w:r>
          <w:rPr>
            <w:rStyle w:val="Hyperlink"/>
          </w:rPr>
          <w:t xml:space="preserve">[12]</w:t>
        </w:r>
      </w:hyperlink>
      <w:r>
        <w:t xml:space="preserve">.</w:t>
      </w:r>
    </w:p>
    <w:p>
      <w:pPr>
        <w:pStyle w:val="BodyText"/>
      </w:pPr>
      <w:r>
        <w:t xml:space="preserve">Best‑practice guidance on engineering change management stresses</w:t>
      </w:r>
      <w:r>
        <w:t xml:space="preserve"> </w:t>
      </w:r>
      <w:r>
        <w:rPr>
          <w:b/>
          <w:bCs/>
        </w:rPr>
        <w:t xml:space="preserve">clear procedures</w:t>
      </w:r>
      <w:r>
        <w:t xml:space="preserve">,</w:t>
      </w:r>
      <w:r>
        <w:t xml:space="preserve"> </w:t>
      </w:r>
      <w:r>
        <w:rPr>
          <w:b/>
          <w:bCs/>
        </w:rPr>
        <w:t xml:space="preserve">comprehensive documentation</w:t>
      </w:r>
      <w:r>
        <w:t xml:space="preserve">,</w:t>
      </w:r>
      <w:r>
        <w:t xml:space="preserve"> </w:t>
      </w:r>
      <w:r>
        <w:rPr>
          <w:b/>
          <w:bCs/>
        </w:rPr>
        <w:t xml:space="preserve">impact assessment</w:t>
      </w:r>
      <w:r>
        <w:t xml:space="preserve"> </w:t>
      </w:r>
      <w:r>
        <w:t xml:space="preserve">and</w:t>
      </w:r>
      <w:r>
        <w:t xml:space="preserve"> </w:t>
      </w:r>
      <w:r>
        <w:rPr>
          <w:b/>
          <w:bCs/>
        </w:rPr>
        <w:t xml:space="preserve">cross‑functional collaboration</w:t>
      </w:r>
      <w:r>
        <w:t xml:space="preserve">. Organizations should define procedures outlining how changes are proposed, evaluated and approved, identify stakeholder roles, and maintain detailed documentation of the proposed change, its impact analysis, rationale, technical specifications, risk assessments, cost implications and schedules</w:t>
      </w:r>
      <w:hyperlink r:id="rId34">
        <w:r>
          <w:rPr>
            <w:rStyle w:val="Hyperlink"/>
          </w:rPr>
          <w:t xml:space="preserve">[13]</w:t>
        </w:r>
      </w:hyperlink>
      <w:r>
        <w:t xml:space="preserve">. Before implementing any change, teams perform an impact assessment to understand effects on functionality, performance, cost, schedule and compliance</w:t>
      </w:r>
      <w:hyperlink r:id="rId35">
        <w:r>
          <w:rPr>
            <w:rStyle w:val="Hyperlink"/>
          </w:rPr>
          <w:t xml:space="preserve">[14]</w:t>
        </w:r>
      </w:hyperlink>
      <w:r>
        <w:t xml:space="preserve">; they also conduct risk analysis and develop mitigation strategies</w:t>
      </w:r>
      <w:hyperlink r:id="rId36">
        <w:r>
          <w:rPr>
            <w:rStyle w:val="Hyperlink"/>
          </w:rPr>
          <w:t xml:space="preserve">[15]</w:t>
        </w:r>
      </w:hyperlink>
      <w:r>
        <w:t xml:space="preserve">. Cross‑functional collaboration among engineering, production, quality assurance and other departments ensures that different perspectives are considered</w:t>
      </w:r>
      <w:hyperlink r:id="rId37">
        <w:r>
          <w:rPr>
            <w:rStyle w:val="Hyperlink"/>
          </w:rPr>
          <w:t xml:space="preserve">[16]</w:t>
        </w:r>
      </w:hyperlink>
      <w:r>
        <w:t xml:space="preserve">. Many organizations establish a</w:t>
      </w:r>
      <w:r>
        <w:t xml:space="preserve"> </w:t>
      </w:r>
      <w:r>
        <w:rPr>
          <w:b/>
          <w:bCs/>
        </w:rPr>
        <w:t xml:space="preserve">Change Control Board (CCB)</w:t>
      </w:r>
      <w:r>
        <w:t xml:space="preserve"> </w:t>
      </w:r>
      <w:r>
        <w:t xml:space="preserve">to review and approve/reject change requests based on criteria such as alignment with organizational goals and standards</w:t>
      </w:r>
      <w:hyperlink r:id="rId38">
        <w:r>
          <w:rPr>
            <w:rStyle w:val="Hyperlink"/>
          </w:rPr>
          <w:t xml:space="preserve">[17]</w:t>
        </w:r>
      </w:hyperlink>
      <w:r>
        <w:t xml:space="preserve">.</w:t>
      </w:r>
    </w:p>
    <w:p>
      <w:pPr>
        <w:pStyle w:val="BodyText"/>
      </w:pPr>
      <w:r>
        <w:t xml:space="preserve">The ECO process typically follows a sequence of</w:t>
      </w:r>
      <w:r>
        <w:t xml:space="preserve"> </w:t>
      </w:r>
      <w:r>
        <w:rPr>
          <w:b/>
          <w:bCs/>
        </w:rPr>
        <w:t xml:space="preserve">initiation</w:t>
      </w:r>
      <w:r>
        <w:t xml:space="preserve">,</w:t>
      </w:r>
      <w:r>
        <w:t xml:space="preserve"> </w:t>
      </w:r>
      <w:r>
        <w:rPr>
          <w:b/>
          <w:bCs/>
        </w:rPr>
        <w:t xml:space="preserve">documentation</w:t>
      </w:r>
      <w:r>
        <w:t xml:space="preserve">,</w:t>
      </w:r>
      <w:r>
        <w:t xml:space="preserve"> </w:t>
      </w:r>
      <w:r>
        <w:rPr>
          <w:b/>
          <w:bCs/>
        </w:rPr>
        <w:t xml:space="preserve">evaluation</w:t>
      </w:r>
      <w:r>
        <w:t xml:space="preserve">,</w:t>
      </w:r>
      <w:r>
        <w:t xml:space="preserve"> </w:t>
      </w:r>
      <w:r>
        <w:rPr>
          <w:b/>
          <w:bCs/>
        </w:rPr>
        <w:t xml:space="preserve">approval</w:t>
      </w:r>
      <w:r>
        <w:t xml:space="preserve">,</w:t>
      </w:r>
      <w:r>
        <w:t xml:space="preserve"> </w:t>
      </w:r>
      <w:r>
        <w:rPr>
          <w:b/>
          <w:bCs/>
        </w:rPr>
        <w:t xml:space="preserve">implementation</w:t>
      </w:r>
      <w:r>
        <w:t xml:space="preserve">,</w:t>
      </w:r>
      <w:r>
        <w:t xml:space="preserve"> </w:t>
      </w:r>
      <w:r>
        <w:rPr>
          <w:b/>
          <w:bCs/>
        </w:rPr>
        <w:t xml:space="preserve">verification/validation</w:t>
      </w:r>
      <w:r>
        <w:t xml:space="preserve"> </w:t>
      </w:r>
      <w:r>
        <w:t xml:space="preserve">and</w:t>
      </w:r>
      <w:r>
        <w:t xml:space="preserve"> </w:t>
      </w:r>
      <w:r>
        <w:rPr>
          <w:b/>
          <w:bCs/>
        </w:rPr>
        <w:t xml:space="preserve">documentation update</w:t>
      </w:r>
      <w:hyperlink r:id="rId39">
        <w:r>
          <w:rPr>
            <w:rStyle w:val="Hyperlink"/>
          </w:rPr>
          <w:t xml:space="preserve">[18]</w:t>
        </w:r>
      </w:hyperlink>
      <w:r>
        <w:t xml:space="preserve">. Each engineering change request should clearly define the problem or improvement, describe the proposed change, state the reason and estimate the cost and resources required</w:t>
      </w:r>
      <w:hyperlink r:id="rId40">
        <w:r>
          <w:rPr>
            <w:rStyle w:val="Hyperlink"/>
          </w:rPr>
          <w:t xml:space="preserve">[19]</w:t>
        </w:r>
      </w:hyperlink>
      <w:r>
        <w:t xml:space="preserve">. By maintaining detailed records and controlling access to updated drawings and bills of materials, organizations reduce errors and improve traceability</w:t>
      </w:r>
      <w:hyperlink r:id="rId41">
        <w:r>
          <w:rPr>
            <w:rStyle w:val="Hyperlink"/>
          </w:rPr>
          <w:t xml:space="preserve">[20]</w:t>
        </w:r>
      </w:hyperlink>
      <w:r>
        <w:t xml:space="preserve">.</w:t>
      </w:r>
    </w:p>
    <w:bookmarkEnd w:id="42"/>
    <w:bookmarkStart w:id="43" w:name="application-to-production-homebuilding"/>
    <w:p>
      <w:pPr>
        <w:pStyle w:val="Heading3"/>
      </w:pPr>
      <w:r>
        <w:t xml:space="preserve">1.3 Application to production home‑building</w:t>
      </w:r>
    </w:p>
    <w:p>
      <w:pPr>
        <w:pStyle w:val="FirstParagraph"/>
      </w:pPr>
      <w:r>
        <w:t xml:space="preserve">In production home‑building, engineering changes often occur when suppliers or structural engineers modify framing designs, such as switching from one engineered wood product supplier to another (e.g., Green Mountain to Pliris). These changes can affect beam sizes, hold‑down anchors and strapping details, typically altering framing costs by</w:t>
      </w:r>
      <w:r>
        <w:t xml:space="preserve"> </w:t>
      </w:r>
      <w:r>
        <w:rPr>
          <w:b/>
          <w:bCs/>
        </w:rPr>
        <w:t xml:space="preserve">3–7 %</w:t>
      </w:r>
      <w:r>
        <w:t xml:space="preserve">. Purchasing departments need clear evidence of what changed, how it affected costs and why. Drawing on the change‑order and ECO practices above, an</w:t>
      </w:r>
      <w:r>
        <w:t xml:space="preserve"> </w:t>
      </w:r>
      <w:r>
        <w:rPr>
          <w:b/>
          <w:bCs/>
        </w:rPr>
        <w:t xml:space="preserve">Engineering Change Impact Report (ECIR)</w:t>
      </w:r>
      <w:r>
        <w:t xml:space="preserve"> </w:t>
      </w:r>
      <w:r>
        <w:t xml:space="preserve">should document the differences between “before” and “after” material lists, quantify cost variances and provide references to the engineering drawings. Using standardized forms, digital collaboration and automated comparison scripts will help estimators present transparent, defensible cost impacts to purchasing, builders and trade partners.</w:t>
      </w:r>
    </w:p>
    <w:bookmarkEnd w:id="43"/>
    <w:bookmarkEnd w:id="44"/>
    <w:bookmarkStart w:id="47" w:name="example-table-layout-excelready"/>
    <w:p>
      <w:pPr>
        <w:pStyle w:val="Heading2"/>
      </w:pPr>
      <w:r>
        <w:t xml:space="preserve">2. Example table layout (Excel‑ready)</w:t>
      </w:r>
    </w:p>
    <w:p>
      <w:pPr>
        <w:pStyle w:val="FirstParagraph"/>
      </w:pPr>
      <w:r>
        <w:t xml:space="preserve">The ECIR should include detailed and summary views. The</w:t>
      </w:r>
      <w:r>
        <w:t xml:space="preserve"> </w:t>
      </w:r>
      <w:r>
        <w:rPr>
          <w:b/>
          <w:bCs/>
        </w:rPr>
        <w:t xml:space="preserve">detail view</w:t>
      </w:r>
      <w:r>
        <w:t xml:space="preserve"> </w:t>
      </w:r>
      <w:r>
        <w:t xml:space="preserve">compares each material line item before and after the engineering change, highlighting the quantity and cost differences, category and engineering reference. The</w:t>
      </w:r>
      <w:r>
        <w:t xml:space="preserve"> </w:t>
      </w:r>
      <w:r>
        <w:rPr>
          <w:b/>
          <w:bCs/>
        </w:rPr>
        <w:t xml:space="preserve">summary view</w:t>
      </w:r>
      <w:r>
        <w:t xml:space="preserve"> </w:t>
      </w:r>
      <w:r>
        <w:t xml:space="preserve">aggregates impacts by category (e.g., glulam, hardware, strapping). Below is an example layout with sample data:</w:t>
      </w:r>
    </w:p>
    <w:bookmarkStart w:id="45" w:name="detail-comparison"/>
    <w:p>
      <w:pPr>
        <w:pStyle w:val="Heading3"/>
      </w:pPr>
      <w:r>
        <w:t xml:space="preserve">2.1 Detail comparison</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Plan Ref.</w:t>
            </w:r>
          </w:p>
        </w:tc>
        <w:tc>
          <w:tcPr/>
          <w:p>
            <w:pPr>
              <w:pStyle w:val="Compact"/>
            </w:pPr>
            <w:r>
              <w:t xml:space="preserve">Category</w:t>
            </w:r>
          </w:p>
        </w:tc>
        <w:tc>
          <w:tcPr/>
          <w:p>
            <w:pPr>
              <w:pStyle w:val="Compact"/>
            </w:pPr>
            <w:r>
              <w:t xml:space="preserve">Item Description</w:t>
            </w:r>
          </w:p>
        </w:tc>
        <w:tc>
          <w:tcPr/>
          <w:p>
            <w:pPr>
              <w:pStyle w:val="Compact"/>
            </w:pPr>
            <w:r>
              <w:t xml:space="preserve">Unit</w:t>
            </w:r>
          </w:p>
        </w:tc>
        <w:tc>
          <w:tcPr/>
          <w:p>
            <w:pPr>
              <w:pStyle w:val="Compact"/>
            </w:pPr>
            <w:r>
              <w:t xml:space="preserve">Qty Before</w:t>
            </w:r>
          </w:p>
        </w:tc>
        <w:tc>
          <w:tcPr/>
          <w:p>
            <w:pPr>
              <w:pStyle w:val="Compact"/>
            </w:pPr>
            <w:r>
              <w:t xml:space="preserve">Unit Cost Before</w:t>
            </w:r>
          </w:p>
        </w:tc>
        <w:tc>
          <w:tcPr/>
          <w:p>
            <w:pPr>
              <w:pStyle w:val="Compact"/>
            </w:pPr>
            <w:r>
              <w:t xml:space="preserve">Qty After</w:t>
            </w:r>
          </w:p>
        </w:tc>
        <w:tc>
          <w:tcPr/>
          <w:p>
            <w:pPr>
              <w:pStyle w:val="Compact"/>
            </w:pPr>
            <w:r>
              <w:t xml:space="preserve">Unit Cost After</w:t>
            </w:r>
          </w:p>
        </w:tc>
        <w:tc>
          <w:tcPr/>
          <w:p>
            <w:pPr>
              <w:pStyle w:val="Compact"/>
            </w:pPr>
            <w:r>
              <w:t xml:space="preserve">Extended Before</w:t>
            </w:r>
          </w:p>
        </w:tc>
        <w:tc>
          <w:tcPr/>
          <w:p>
            <w:pPr>
              <w:pStyle w:val="Compact"/>
            </w:pPr>
            <w:r>
              <w:t xml:space="preserve">Extended After</w:t>
            </w:r>
          </w:p>
        </w:tc>
        <w:tc>
          <w:tcPr/>
          <w:p>
            <w:pPr>
              <w:pStyle w:val="Compact"/>
            </w:pPr>
            <w:r>
              <w:t xml:space="preserve">$ Variance</w:t>
            </w:r>
          </w:p>
        </w:tc>
        <w:tc>
          <w:tcPr/>
          <w:p>
            <w:pPr>
              <w:pStyle w:val="Compact"/>
            </w:pPr>
            <w:r>
              <w:t xml:space="preserve">% Variance</w:t>
            </w:r>
          </w:p>
        </w:tc>
        <w:tc>
          <w:tcPr/>
          <w:p>
            <w:pPr>
              <w:pStyle w:val="Compact"/>
            </w:pPr>
            <w:r>
              <w:t xml:space="preserve">Engineering Note</w:t>
            </w:r>
          </w:p>
        </w:tc>
      </w:tr>
      <w:tr>
        <w:tc>
          <w:tcPr/>
          <w:p>
            <w:pPr>
              <w:pStyle w:val="Compact"/>
            </w:pPr>
            <w:r>
              <w:t xml:space="preserve">S3.2</w:t>
            </w:r>
          </w:p>
        </w:tc>
        <w:tc>
          <w:tcPr/>
          <w:p>
            <w:pPr>
              <w:pStyle w:val="Compact"/>
            </w:pPr>
            <w:r>
              <w:t xml:space="preserve">Glulam</w:t>
            </w:r>
          </w:p>
        </w:tc>
        <w:tc>
          <w:tcPr/>
          <w:p>
            <w:pPr>
              <w:pStyle w:val="Compact"/>
            </w:pPr>
            <w:r>
              <w:t xml:space="preserve">Glulam beam 5‑1/4 × 12</w:t>
            </w:r>
          </w:p>
        </w:tc>
        <w:tc>
          <w:tcPr/>
          <w:p>
            <w:pPr>
              <w:pStyle w:val="Compact"/>
            </w:pPr>
            <w:r>
              <w:t xml:space="preserve">ea</w:t>
            </w:r>
          </w:p>
        </w:tc>
        <w:tc>
          <w:tcPr/>
          <w:p>
            <w:pPr>
              <w:pStyle w:val="Compact"/>
            </w:pPr>
            <w:r>
              <w:t xml:space="preserve">10</w:t>
            </w:r>
          </w:p>
        </w:tc>
        <w:tc>
          <w:tcPr/>
          <w:p>
            <w:pPr>
              <w:pStyle w:val="Compact"/>
            </w:pPr>
            <w:r>
              <w:t xml:space="preserve">$150</w:t>
            </w:r>
          </w:p>
        </w:tc>
        <w:tc>
          <w:tcPr/>
          <w:p>
            <w:pPr>
              <w:pStyle w:val="Compact"/>
            </w:pPr>
            <w:r>
              <w:t xml:space="preserve">12</w:t>
            </w:r>
          </w:p>
        </w:tc>
        <w:tc>
          <w:tcPr/>
          <w:p>
            <w:pPr>
              <w:pStyle w:val="Compact"/>
            </w:pPr>
            <w:r>
              <w:t xml:space="preserve">$155</w:t>
            </w:r>
          </w:p>
        </w:tc>
        <w:tc>
          <w:tcPr/>
          <w:p>
            <w:pPr>
              <w:pStyle w:val="Compact"/>
            </w:pPr>
            <w:r>
              <w:t xml:space="preserve">$1 500</w:t>
            </w:r>
          </w:p>
        </w:tc>
        <w:tc>
          <w:tcPr/>
          <w:p>
            <w:pPr>
              <w:pStyle w:val="Compact"/>
            </w:pPr>
            <w:r>
              <w:t xml:space="preserve">$1 860</w:t>
            </w:r>
          </w:p>
        </w:tc>
        <w:tc>
          <w:tcPr/>
          <w:p>
            <w:pPr>
              <w:pStyle w:val="Compact"/>
            </w:pPr>
            <w:r>
              <w:t xml:space="preserve">+$360</w:t>
            </w:r>
          </w:p>
        </w:tc>
        <w:tc>
          <w:tcPr/>
          <w:p>
            <w:pPr>
              <w:pStyle w:val="Compact"/>
            </w:pPr>
            <w:r>
              <w:t xml:space="preserve">+24.0 %</w:t>
            </w:r>
          </w:p>
        </w:tc>
        <w:tc>
          <w:tcPr/>
          <w:p>
            <w:pPr>
              <w:pStyle w:val="Compact"/>
            </w:pPr>
            <w:r>
              <w:t xml:space="preserve">Beam size increased for load path</w:t>
            </w:r>
          </w:p>
        </w:tc>
      </w:tr>
      <w:tr>
        <w:tc>
          <w:tcPr/>
          <w:p>
            <w:pPr>
              <w:pStyle w:val="Compact"/>
            </w:pPr>
            <w:r>
              <w:t xml:space="preserve">S3.2</w:t>
            </w:r>
          </w:p>
        </w:tc>
        <w:tc>
          <w:tcPr/>
          <w:p>
            <w:pPr>
              <w:pStyle w:val="Compact"/>
            </w:pPr>
            <w:r>
              <w:t xml:space="preserve">Hardware</w:t>
            </w:r>
          </w:p>
        </w:tc>
        <w:tc>
          <w:tcPr/>
          <w:p>
            <w:pPr>
              <w:pStyle w:val="Compact"/>
            </w:pPr>
            <w:r>
              <w:t xml:space="preserve">HDU8 hold‑down anchor</w:t>
            </w:r>
          </w:p>
        </w:tc>
        <w:tc>
          <w:tcPr/>
          <w:p>
            <w:pPr>
              <w:pStyle w:val="Compact"/>
            </w:pPr>
            <w:r>
              <w:t xml:space="preserve">ea</w:t>
            </w:r>
          </w:p>
        </w:tc>
        <w:tc>
          <w:tcPr/>
          <w:p>
            <w:pPr>
              <w:pStyle w:val="Compact"/>
            </w:pPr>
            <w:r>
              <w:t xml:space="preserve">20</w:t>
            </w:r>
          </w:p>
        </w:tc>
        <w:tc>
          <w:tcPr/>
          <w:p>
            <w:pPr>
              <w:pStyle w:val="Compact"/>
            </w:pPr>
            <w:r>
              <w:t xml:space="preserve">$8</w:t>
            </w:r>
          </w:p>
        </w:tc>
        <w:tc>
          <w:tcPr/>
          <w:p>
            <w:pPr>
              <w:pStyle w:val="Compact"/>
            </w:pPr>
            <w:r>
              <w:t xml:space="preserve">24</w:t>
            </w:r>
          </w:p>
        </w:tc>
        <w:tc>
          <w:tcPr/>
          <w:p>
            <w:pPr>
              <w:pStyle w:val="Compact"/>
            </w:pPr>
            <w:r>
              <w:t xml:space="preserve">$8.50</w:t>
            </w:r>
          </w:p>
        </w:tc>
        <w:tc>
          <w:tcPr/>
          <w:p>
            <w:pPr>
              <w:pStyle w:val="Compact"/>
            </w:pPr>
            <w:r>
              <w:t xml:space="preserve">$160</w:t>
            </w:r>
          </w:p>
        </w:tc>
        <w:tc>
          <w:tcPr/>
          <w:p>
            <w:pPr>
              <w:pStyle w:val="Compact"/>
            </w:pPr>
            <w:r>
              <w:t xml:space="preserve">$204</w:t>
            </w:r>
          </w:p>
        </w:tc>
        <w:tc>
          <w:tcPr/>
          <w:p>
            <w:pPr>
              <w:pStyle w:val="Compact"/>
            </w:pPr>
            <w:r>
              <w:t xml:space="preserve">+$44</w:t>
            </w:r>
          </w:p>
        </w:tc>
        <w:tc>
          <w:tcPr/>
          <w:p>
            <w:pPr>
              <w:pStyle w:val="Compact"/>
            </w:pPr>
            <w:r>
              <w:t xml:space="preserve">+27.5 %</w:t>
            </w:r>
          </w:p>
        </w:tc>
        <w:tc>
          <w:tcPr/>
          <w:p>
            <w:pPr>
              <w:pStyle w:val="Compact"/>
            </w:pPr>
            <w:r>
              <w:t xml:space="preserve">Additional hold‑downs per sheet S3.2</w:t>
            </w:r>
          </w:p>
        </w:tc>
      </w:tr>
      <w:tr>
        <w:tc>
          <w:tcPr/>
          <w:p>
            <w:pPr>
              <w:pStyle w:val="Compact"/>
            </w:pPr>
            <w:r>
              <w:t xml:space="preserve">S3.5</w:t>
            </w:r>
          </w:p>
        </w:tc>
        <w:tc>
          <w:tcPr/>
          <w:p>
            <w:pPr>
              <w:pStyle w:val="Compact"/>
            </w:pPr>
            <w:r>
              <w:t xml:space="preserve">Strapping</w:t>
            </w:r>
          </w:p>
        </w:tc>
        <w:tc>
          <w:tcPr/>
          <w:p>
            <w:pPr>
              <w:pStyle w:val="Compact"/>
            </w:pPr>
            <w:r>
              <w:t xml:space="preserve">Simpson MST48 strap</w:t>
            </w:r>
          </w:p>
        </w:tc>
        <w:tc>
          <w:tcPr/>
          <w:p>
            <w:pPr>
              <w:pStyle w:val="Compact"/>
            </w:pPr>
            <w:r>
              <w:t xml:space="preserve">ea</w:t>
            </w:r>
          </w:p>
        </w:tc>
        <w:tc>
          <w:tcPr/>
          <w:p>
            <w:pPr>
              <w:pStyle w:val="Compact"/>
            </w:pPr>
            <w:r>
              <w:t xml:space="preserve">50</w:t>
            </w:r>
          </w:p>
        </w:tc>
        <w:tc>
          <w:tcPr/>
          <w:p>
            <w:pPr>
              <w:pStyle w:val="Compact"/>
            </w:pPr>
            <w:r>
              <w:t xml:space="preserve">$3</w:t>
            </w:r>
          </w:p>
        </w:tc>
        <w:tc>
          <w:tcPr/>
          <w:p>
            <w:pPr>
              <w:pStyle w:val="Compact"/>
            </w:pPr>
            <w:r>
              <w:t xml:space="preserve">55</w:t>
            </w:r>
          </w:p>
        </w:tc>
        <w:tc>
          <w:tcPr/>
          <w:p>
            <w:pPr>
              <w:pStyle w:val="Compact"/>
            </w:pPr>
            <w:r>
              <w:t xml:space="preserve">$3.50</w:t>
            </w:r>
          </w:p>
        </w:tc>
        <w:tc>
          <w:tcPr/>
          <w:p>
            <w:pPr>
              <w:pStyle w:val="Compact"/>
            </w:pPr>
            <w:r>
              <w:t xml:space="preserve">$150</w:t>
            </w:r>
          </w:p>
        </w:tc>
        <w:tc>
          <w:tcPr/>
          <w:p>
            <w:pPr>
              <w:pStyle w:val="Compact"/>
            </w:pPr>
            <w:r>
              <w:t xml:space="preserve">$192.50</w:t>
            </w:r>
          </w:p>
        </w:tc>
        <w:tc>
          <w:tcPr/>
          <w:p>
            <w:pPr>
              <w:pStyle w:val="Compact"/>
            </w:pPr>
            <w:r>
              <w:t xml:space="preserve">+$42.50</w:t>
            </w:r>
          </w:p>
        </w:tc>
        <w:tc>
          <w:tcPr/>
          <w:p>
            <w:pPr>
              <w:pStyle w:val="Compact"/>
            </w:pPr>
            <w:r>
              <w:t xml:space="preserve">+28.3 %</w:t>
            </w:r>
          </w:p>
        </w:tc>
        <w:tc>
          <w:tcPr/>
          <w:p>
            <w:pPr>
              <w:pStyle w:val="Compact"/>
            </w:pPr>
            <w:r>
              <w:t xml:space="preserve">Added strap at roof shear wall per S3.5</w:t>
            </w:r>
          </w:p>
        </w:tc>
      </w:tr>
      <w:tr>
        <w:tc>
          <w:tcPr/>
          <w:p>
            <w:pPr>
              <w:pStyle w:val="Compact"/>
            </w:pPr>
            <w:r>
              <w:t xml:space="preserve">S4.1</w:t>
            </w:r>
          </w:p>
        </w:tc>
        <w:tc>
          <w:tcPr/>
          <w:p>
            <w:pPr>
              <w:pStyle w:val="Compact"/>
            </w:pPr>
            <w:r>
              <w:t xml:space="preserve">Hold‑down</w:t>
            </w:r>
          </w:p>
        </w:tc>
        <w:tc>
          <w:tcPr/>
          <w:p>
            <w:pPr>
              <w:pStyle w:val="Compact"/>
            </w:pPr>
            <w:r>
              <w:t xml:space="preserve">HDU14 hold‑down anchor</w:t>
            </w:r>
          </w:p>
        </w:tc>
        <w:tc>
          <w:tcPr/>
          <w:p>
            <w:pPr>
              <w:pStyle w:val="Compact"/>
            </w:pPr>
            <w:r>
              <w:t xml:space="preserve">ea</w:t>
            </w:r>
          </w:p>
        </w:tc>
        <w:tc>
          <w:tcPr/>
          <w:p>
            <w:pPr>
              <w:pStyle w:val="Compact"/>
            </w:pPr>
            <w:r>
              <w:t xml:space="preserve">15</w:t>
            </w:r>
          </w:p>
        </w:tc>
        <w:tc>
          <w:tcPr/>
          <w:p>
            <w:pPr>
              <w:pStyle w:val="Compact"/>
            </w:pPr>
            <w:r>
              <w:t xml:space="preserve">$12</w:t>
            </w:r>
          </w:p>
        </w:tc>
        <w:tc>
          <w:tcPr/>
          <w:p>
            <w:pPr>
              <w:pStyle w:val="Compact"/>
            </w:pPr>
            <w:r>
              <w:t xml:space="preserve">18</w:t>
            </w:r>
          </w:p>
        </w:tc>
        <w:tc>
          <w:tcPr/>
          <w:p>
            <w:pPr>
              <w:pStyle w:val="Compact"/>
            </w:pPr>
            <w:r>
              <w:t xml:space="preserve">$12.50</w:t>
            </w:r>
          </w:p>
        </w:tc>
        <w:tc>
          <w:tcPr/>
          <w:p>
            <w:pPr>
              <w:pStyle w:val="Compact"/>
            </w:pPr>
            <w:r>
              <w:t xml:space="preserve">$180</w:t>
            </w:r>
          </w:p>
        </w:tc>
        <w:tc>
          <w:tcPr/>
          <w:p>
            <w:pPr>
              <w:pStyle w:val="Compact"/>
            </w:pPr>
            <w:r>
              <w:t xml:space="preserve">$225</w:t>
            </w:r>
          </w:p>
        </w:tc>
        <w:tc>
          <w:tcPr/>
          <w:p>
            <w:pPr>
              <w:pStyle w:val="Compact"/>
            </w:pPr>
            <w:r>
              <w:t xml:space="preserve">+$45</w:t>
            </w:r>
          </w:p>
        </w:tc>
        <w:tc>
          <w:tcPr/>
          <w:p>
            <w:pPr>
              <w:pStyle w:val="Compact"/>
            </w:pPr>
            <w:r>
              <w:t xml:space="preserve">+25.0 %</w:t>
            </w:r>
          </w:p>
        </w:tc>
        <w:tc>
          <w:tcPr/>
          <w:p>
            <w:pPr>
              <w:pStyle w:val="Compact"/>
            </w:pPr>
            <w:r>
              <w:t xml:space="preserve">Increased hold‑down capacity per directive</w:t>
            </w:r>
          </w:p>
        </w:tc>
      </w:tr>
    </w:tbl>
    <w:p>
      <w:pPr>
        <w:pStyle w:val="BodyText"/>
      </w:pPr>
      <w:r>
        <w:rPr>
          <w:b/>
          <w:bCs/>
        </w:rPr>
        <w:t xml:space="preserve">Key fields</w:t>
      </w:r>
      <w:r>
        <w:t xml:space="preserve">:</w:t>
      </w:r>
    </w:p>
    <w:p>
      <w:pPr>
        <w:pStyle w:val="Compact"/>
        <w:numPr>
          <w:ilvl w:val="0"/>
          <w:numId w:val="1001"/>
        </w:numPr>
      </w:pPr>
      <w:r>
        <w:rPr>
          <w:b/>
          <w:bCs/>
        </w:rPr>
        <w:t xml:space="preserve">Plan Ref.</w:t>
      </w:r>
      <w:r>
        <w:t xml:space="preserve"> </w:t>
      </w:r>
      <w:r>
        <w:t xml:space="preserve">– sheet or detail number from the structural plans that authorizes the change.</w:t>
      </w:r>
    </w:p>
    <w:p>
      <w:pPr>
        <w:pStyle w:val="Compact"/>
        <w:numPr>
          <w:ilvl w:val="0"/>
          <w:numId w:val="1001"/>
        </w:numPr>
      </w:pPr>
      <w:r>
        <w:rPr>
          <w:b/>
          <w:bCs/>
        </w:rPr>
        <w:t xml:space="preserve">Category</w:t>
      </w:r>
      <w:r>
        <w:t xml:space="preserve"> </w:t>
      </w:r>
      <w:r>
        <w:t xml:space="preserve">– grouping (glulam, hardware, strapping, hold‑down, fasteners, etc.).</w:t>
      </w:r>
    </w:p>
    <w:p>
      <w:pPr>
        <w:pStyle w:val="Compact"/>
        <w:numPr>
          <w:ilvl w:val="0"/>
          <w:numId w:val="1001"/>
        </w:numPr>
      </w:pPr>
      <w:r>
        <w:rPr>
          <w:b/>
          <w:bCs/>
        </w:rPr>
        <w:t xml:space="preserve">Item Description</w:t>
      </w:r>
      <w:r>
        <w:t xml:space="preserve"> </w:t>
      </w:r>
      <w:r>
        <w:t xml:space="preserve">– description or SKU from the bill of materials.</w:t>
      </w:r>
    </w:p>
    <w:p>
      <w:pPr>
        <w:pStyle w:val="Compact"/>
        <w:numPr>
          <w:ilvl w:val="0"/>
          <w:numId w:val="1001"/>
        </w:numPr>
      </w:pPr>
      <w:r>
        <w:rPr>
          <w:b/>
          <w:bCs/>
        </w:rPr>
        <w:t xml:space="preserve">Qty Before / After and Unit Cost Before / After</w:t>
      </w:r>
      <w:r>
        <w:t xml:space="preserve"> </w:t>
      </w:r>
      <w:r>
        <w:t xml:space="preserve">– values from the original and revised material lists.</w:t>
      </w:r>
    </w:p>
    <w:p>
      <w:pPr>
        <w:pStyle w:val="Compact"/>
        <w:numPr>
          <w:ilvl w:val="0"/>
          <w:numId w:val="1001"/>
        </w:numPr>
      </w:pPr>
      <w:r>
        <w:rPr>
          <w:b/>
          <w:bCs/>
        </w:rPr>
        <w:t xml:space="preserve">Extended Before / After</w:t>
      </w:r>
      <w:r>
        <w:t xml:space="preserve"> </w:t>
      </w:r>
      <w:r>
        <w:t xml:space="preserve">– quantity multiplied by unit cost.</w:t>
      </w:r>
    </w:p>
    <w:p>
      <w:pPr>
        <w:pStyle w:val="Compact"/>
        <w:numPr>
          <w:ilvl w:val="0"/>
          <w:numId w:val="1001"/>
        </w:numPr>
      </w:pPr>
      <w:r>
        <w:rPr>
          <w:b/>
          <w:bCs/>
        </w:rPr>
        <w:t xml:space="preserve">$ Variance / % Variance</w:t>
      </w:r>
      <w:r>
        <w:t xml:space="preserve"> </w:t>
      </w:r>
      <w:r>
        <w:t xml:space="preserve">– difference and percentage change; positive numbers indicate cost increases.</w:t>
      </w:r>
    </w:p>
    <w:p>
      <w:pPr>
        <w:pStyle w:val="Compact"/>
        <w:numPr>
          <w:ilvl w:val="0"/>
          <w:numId w:val="1001"/>
        </w:numPr>
      </w:pPr>
      <w:r>
        <w:rPr>
          <w:b/>
          <w:bCs/>
        </w:rPr>
        <w:t xml:space="preserve">Engineering Note</w:t>
      </w:r>
      <w:r>
        <w:t xml:space="preserve"> </w:t>
      </w:r>
      <w:r>
        <w:t xml:space="preserve">– brief explanation with plan reference (e.g., “per sheet S3.2”).</w:t>
      </w:r>
    </w:p>
    <w:bookmarkEnd w:id="45"/>
    <w:bookmarkStart w:id="46" w:name="summary-by-category"/>
    <w:p>
      <w:pPr>
        <w:pStyle w:val="Heading3"/>
      </w:pPr>
      <w:r>
        <w:t xml:space="preserve">2.2 Summary by category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Category</w:t>
            </w:r>
          </w:p>
        </w:tc>
        <w:tc>
          <w:tcPr/>
          <w:p>
            <w:pPr>
              <w:pStyle w:val="Compact"/>
            </w:pPr>
            <w:r>
              <w:t xml:space="preserve">Qty Before</w:t>
            </w:r>
          </w:p>
        </w:tc>
        <w:tc>
          <w:tcPr/>
          <w:p>
            <w:pPr>
              <w:pStyle w:val="Compact"/>
            </w:pPr>
            <w:r>
              <w:t xml:space="preserve">Qty After</w:t>
            </w:r>
          </w:p>
        </w:tc>
        <w:tc>
          <w:tcPr/>
          <w:p>
            <w:pPr>
              <w:pStyle w:val="Compact"/>
            </w:pPr>
            <w:r>
              <w:t xml:space="preserve">Cost Before</w:t>
            </w:r>
          </w:p>
        </w:tc>
        <w:tc>
          <w:tcPr/>
          <w:p>
            <w:pPr>
              <w:pStyle w:val="Compact"/>
            </w:pPr>
            <w:r>
              <w:t xml:space="preserve">Cost After</w:t>
            </w:r>
          </w:p>
        </w:tc>
        <w:tc>
          <w:tcPr/>
          <w:p>
            <w:pPr>
              <w:pStyle w:val="Compact"/>
            </w:pPr>
            <w:r>
              <w:t xml:space="preserve">$ Variance</w:t>
            </w:r>
          </w:p>
        </w:tc>
        <w:tc>
          <w:tcPr/>
          <w:p>
            <w:pPr>
              <w:pStyle w:val="Compact"/>
            </w:pPr>
            <w:r>
              <w:t xml:space="preserve">% Variance</w:t>
            </w:r>
          </w:p>
        </w:tc>
      </w:tr>
      <w:tr>
        <w:tc>
          <w:tcPr/>
          <w:p>
            <w:pPr>
              <w:pStyle w:val="Compact"/>
            </w:pPr>
            <w:r>
              <w:t xml:space="preserve">Glulam</w:t>
            </w:r>
          </w:p>
        </w:tc>
        <w:tc>
          <w:tcPr/>
          <w:p>
            <w:pPr>
              <w:pStyle w:val="Compact"/>
            </w:pPr>
            <w:r>
              <w:t xml:space="preserve">10</w:t>
            </w:r>
          </w:p>
        </w:tc>
        <w:tc>
          <w:tcPr/>
          <w:p>
            <w:pPr>
              <w:pStyle w:val="Compact"/>
            </w:pPr>
            <w:r>
              <w:t xml:space="preserve">12</w:t>
            </w:r>
          </w:p>
        </w:tc>
        <w:tc>
          <w:tcPr/>
          <w:p>
            <w:pPr>
              <w:pStyle w:val="Compact"/>
            </w:pPr>
            <w:r>
              <w:t xml:space="preserve">$1 500</w:t>
            </w:r>
          </w:p>
        </w:tc>
        <w:tc>
          <w:tcPr/>
          <w:p>
            <w:pPr>
              <w:pStyle w:val="Compact"/>
            </w:pPr>
            <w:r>
              <w:t xml:space="preserve">$1 860</w:t>
            </w:r>
          </w:p>
        </w:tc>
        <w:tc>
          <w:tcPr/>
          <w:p>
            <w:pPr>
              <w:pStyle w:val="Compact"/>
            </w:pPr>
            <w:r>
              <w:t xml:space="preserve">+$360</w:t>
            </w:r>
          </w:p>
        </w:tc>
        <w:tc>
          <w:tcPr/>
          <w:p>
            <w:pPr>
              <w:pStyle w:val="Compact"/>
            </w:pPr>
            <w:r>
              <w:t xml:space="preserve">+24.0 %</w:t>
            </w:r>
          </w:p>
        </w:tc>
      </w:tr>
      <w:tr>
        <w:tc>
          <w:tcPr/>
          <w:p>
            <w:pPr>
              <w:pStyle w:val="Compact"/>
            </w:pPr>
            <w:r>
              <w:t xml:space="preserve">Hardware</w:t>
            </w:r>
          </w:p>
        </w:tc>
        <w:tc>
          <w:tcPr/>
          <w:p>
            <w:pPr>
              <w:pStyle w:val="Compact"/>
            </w:pPr>
            <w:r>
              <w:t xml:space="preserve">20</w:t>
            </w:r>
          </w:p>
        </w:tc>
        <w:tc>
          <w:tcPr/>
          <w:p>
            <w:pPr>
              <w:pStyle w:val="Compact"/>
            </w:pPr>
            <w:r>
              <w:t xml:space="preserve">24</w:t>
            </w:r>
          </w:p>
        </w:tc>
        <w:tc>
          <w:tcPr/>
          <w:p>
            <w:pPr>
              <w:pStyle w:val="Compact"/>
            </w:pPr>
            <w:r>
              <w:t xml:space="preserve">$160</w:t>
            </w:r>
          </w:p>
        </w:tc>
        <w:tc>
          <w:tcPr/>
          <w:p>
            <w:pPr>
              <w:pStyle w:val="Compact"/>
            </w:pPr>
            <w:r>
              <w:t xml:space="preserve">$204</w:t>
            </w:r>
          </w:p>
        </w:tc>
        <w:tc>
          <w:tcPr/>
          <w:p>
            <w:pPr>
              <w:pStyle w:val="Compact"/>
            </w:pPr>
            <w:r>
              <w:t xml:space="preserve">+$44</w:t>
            </w:r>
          </w:p>
        </w:tc>
        <w:tc>
          <w:tcPr/>
          <w:p>
            <w:pPr>
              <w:pStyle w:val="Compact"/>
            </w:pPr>
            <w:r>
              <w:t xml:space="preserve">+27.5 %</w:t>
            </w:r>
          </w:p>
        </w:tc>
      </w:tr>
      <w:tr>
        <w:tc>
          <w:tcPr/>
          <w:p>
            <w:pPr>
              <w:pStyle w:val="Compact"/>
            </w:pPr>
            <w:r>
              <w:t xml:space="preserve">Strapping</w:t>
            </w:r>
          </w:p>
        </w:tc>
        <w:tc>
          <w:tcPr/>
          <w:p>
            <w:pPr>
              <w:pStyle w:val="Compact"/>
            </w:pPr>
            <w:r>
              <w:t xml:space="preserve">50</w:t>
            </w:r>
          </w:p>
        </w:tc>
        <w:tc>
          <w:tcPr/>
          <w:p>
            <w:pPr>
              <w:pStyle w:val="Compact"/>
            </w:pPr>
            <w:r>
              <w:t xml:space="preserve">55</w:t>
            </w:r>
          </w:p>
        </w:tc>
        <w:tc>
          <w:tcPr/>
          <w:p>
            <w:pPr>
              <w:pStyle w:val="Compact"/>
            </w:pPr>
            <w:r>
              <w:t xml:space="preserve">$150</w:t>
            </w:r>
          </w:p>
        </w:tc>
        <w:tc>
          <w:tcPr/>
          <w:p>
            <w:pPr>
              <w:pStyle w:val="Compact"/>
            </w:pPr>
            <w:r>
              <w:t xml:space="preserve">$192.50</w:t>
            </w:r>
          </w:p>
        </w:tc>
        <w:tc>
          <w:tcPr/>
          <w:p>
            <w:pPr>
              <w:pStyle w:val="Compact"/>
            </w:pPr>
            <w:r>
              <w:t xml:space="preserve">+$42.50</w:t>
            </w:r>
          </w:p>
        </w:tc>
        <w:tc>
          <w:tcPr/>
          <w:p>
            <w:pPr>
              <w:pStyle w:val="Compact"/>
            </w:pPr>
            <w:r>
              <w:t xml:space="preserve">+28.3 %</w:t>
            </w:r>
          </w:p>
        </w:tc>
      </w:tr>
      <w:tr>
        <w:tc>
          <w:tcPr/>
          <w:p>
            <w:pPr>
              <w:pStyle w:val="Compact"/>
            </w:pPr>
            <w:r>
              <w:t xml:space="preserve">Hold‑down</w:t>
            </w:r>
          </w:p>
        </w:tc>
        <w:tc>
          <w:tcPr/>
          <w:p>
            <w:pPr>
              <w:pStyle w:val="Compact"/>
            </w:pPr>
            <w:r>
              <w:t xml:space="preserve">15</w:t>
            </w:r>
          </w:p>
        </w:tc>
        <w:tc>
          <w:tcPr/>
          <w:p>
            <w:pPr>
              <w:pStyle w:val="Compact"/>
            </w:pPr>
            <w:r>
              <w:t xml:space="preserve">18</w:t>
            </w:r>
          </w:p>
        </w:tc>
        <w:tc>
          <w:tcPr/>
          <w:p>
            <w:pPr>
              <w:pStyle w:val="Compact"/>
            </w:pPr>
            <w:r>
              <w:t xml:space="preserve">$180</w:t>
            </w:r>
          </w:p>
        </w:tc>
        <w:tc>
          <w:tcPr/>
          <w:p>
            <w:pPr>
              <w:pStyle w:val="Compact"/>
            </w:pPr>
            <w:r>
              <w:t xml:space="preserve">$225</w:t>
            </w:r>
          </w:p>
        </w:tc>
        <w:tc>
          <w:tcPr/>
          <w:p>
            <w:pPr>
              <w:pStyle w:val="Compact"/>
            </w:pPr>
            <w:r>
              <w:t xml:space="preserve">+$45</w:t>
            </w:r>
          </w:p>
        </w:tc>
        <w:tc>
          <w:tcPr/>
          <w:p>
            <w:pPr>
              <w:pStyle w:val="Compact"/>
            </w:pPr>
            <w:r>
              <w:t xml:space="preserve">+25.0 %</w:t>
            </w:r>
          </w:p>
        </w:tc>
      </w:tr>
    </w:tbl>
    <w:p>
      <w:pPr>
        <w:pStyle w:val="BodyText"/>
      </w:pPr>
      <w:r>
        <w:t xml:space="preserve">Totals and variances for each category provide purchasing teams with quick insight into where the largest cost impacts occurred.</w:t>
      </w:r>
    </w:p>
    <w:bookmarkEnd w:id="46"/>
    <w:bookmarkEnd w:id="47"/>
    <w:bookmarkStart w:id="48" w:name="example-report-summary-paragraph"/>
    <w:p>
      <w:pPr>
        <w:pStyle w:val="Heading2"/>
      </w:pPr>
      <w:r>
        <w:t xml:space="preserve">3. Example report summary paragraph</w:t>
      </w:r>
    </w:p>
    <w:p>
      <w:pPr>
        <w:pStyle w:val="BlockText"/>
      </w:pPr>
      <w:r>
        <w:rPr>
          <w:b/>
          <w:bCs/>
        </w:rPr>
        <w:t xml:space="preserve">Engineering Change Impact Summary – Plan 2206 Lot A</w:t>
      </w:r>
      <w:r>
        <w:t xml:space="preserve">: The structural engineer revised the floor‑framing design after switching suppliers from Green Mountain to Pliris. The glulam beams on sheet S3.2 were upsized from 5‑1/4 × 12 to 5‑1/4 × 14, increasing the quantity from 10 to 12 and raising the line cost from</w:t>
      </w:r>
      <w:r>
        <w:t xml:space="preserve"> </w:t>
      </w:r>
      <w:r>
        <w:rPr>
          <w:b/>
          <w:bCs/>
        </w:rPr>
        <w:t xml:space="preserve">$1 500</w:t>
      </w:r>
      <w:r>
        <w:t xml:space="preserve"> </w:t>
      </w:r>
      <w:r>
        <w:t xml:space="preserve">to</w:t>
      </w:r>
      <w:r>
        <w:t xml:space="preserve"> </w:t>
      </w:r>
      <w:r>
        <w:rPr>
          <w:b/>
          <w:bCs/>
        </w:rPr>
        <w:t xml:space="preserve">$1 860</w:t>
      </w:r>
      <w:r>
        <w:t xml:space="preserve"> </w:t>
      </w:r>
      <w:r>
        <w:t xml:space="preserve">(+24 %). Additional HDU8 hold‑down anchors were added on sheet S3.2, increasing the count from 20 to 24 and cost from</w:t>
      </w:r>
      <w:r>
        <w:t xml:space="preserve"> </w:t>
      </w:r>
      <w:r>
        <w:rPr>
          <w:b/>
          <w:bCs/>
        </w:rPr>
        <w:t xml:space="preserve">$160</w:t>
      </w:r>
      <w:r>
        <w:t xml:space="preserve"> </w:t>
      </w:r>
      <w:r>
        <w:t xml:space="preserve">to</w:t>
      </w:r>
      <w:r>
        <w:t xml:space="preserve"> </w:t>
      </w:r>
      <w:r>
        <w:rPr>
          <w:b/>
          <w:bCs/>
        </w:rPr>
        <w:t xml:space="preserve">$204</w:t>
      </w:r>
      <w:r>
        <w:t xml:space="preserve"> </w:t>
      </w:r>
      <w:r>
        <w:t xml:space="preserve">(+27.5 %). Roof shear‑wall straps (Simpson MST48) were added per sheet S3.5, raising the quantity from 50 to 55 and cost from</w:t>
      </w:r>
      <w:r>
        <w:t xml:space="preserve"> </w:t>
      </w:r>
      <w:r>
        <w:rPr>
          <w:b/>
          <w:bCs/>
        </w:rPr>
        <w:t xml:space="preserve">$150</w:t>
      </w:r>
      <w:r>
        <w:t xml:space="preserve"> </w:t>
      </w:r>
      <w:r>
        <w:t xml:space="preserve">to</w:t>
      </w:r>
      <w:r>
        <w:t xml:space="preserve"> </w:t>
      </w:r>
      <w:r>
        <w:rPr>
          <w:b/>
          <w:bCs/>
        </w:rPr>
        <w:t xml:space="preserve">$192.50</w:t>
      </w:r>
      <w:r>
        <w:t xml:space="preserve"> </w:t>
      </w:r>
      <w:r>
        <w:t xml:space="preserve">(+28.3 %). The engineer also upgraded hold‑down anchors on sheet S4.1 (HDU14), resulting in a 25 % cost increase. Overall, framing costs increased by approximately</w:t>
      </w:r>
      <w:r>
        <w:t xml:space="preserve"> </w:t>
      </w:r>
      <w:r>
        <w:rPr>
          <w:b/>
          <w:bCs/>
        </w:rPr>
        <w:t xml:space="preserve">3–7 %</w:t>
      </w:r>
      <w:r>
        <w:t xml:space="preserve"> </w:t>
      </w:r>
      <w:r>
        <w:t xml:space="preserve">across categories. The changes were necessary to meet updated engineering requirements and load‑path continuity. All revisions are documented with plan references and engineering notes. Purchasing and estimating teams should update budgets accordingly and notify trade partners of the new specifications.</w:t>
      </w:r>
    </w:p>
    <w:bookmarkEnd w:id="48"/>
    <w:bookmarkStart w:id="49" w:name="X64792867daa772ae66f7c4b28b10a4a589ac386"/>
    <w:p>
      <w:pPr>
        <w:pStyle w:val="Heading2"/>
      </w:pPr>
      <w:r>
        <w:t xml:space="preserve">4. Pseudocode / Python snippet for generating the comparison automatically</w:t>
      </w:r>
    </w:p>
    <w:p>
      <w:pPr>
        <w:pStyle w:val="FirstParagraph"/>
      </w:pPr>
      <w:r>
        <w:t xml:space="preserve">The ECIR process can be automated using Python. A common approach is to export the “before” and “after” material lists from estimating software or Excel into CSV files and then process them with pandas. The pseudocode below outlines the workflow:</w:t>
      </w:r>
    </w:p>
    <w:p>
      <w:pPr>
        <w:pStyle w:val="SourceCode"/>
      </w:pPr>
      <w:r>
        <w:rPr>
          <w:rStyle w:val="VerbatimChar"/>
        </w:rPr>
        <w:t xml:space="preserve">import pandas as pd</w:t>
      </w:r>
      <w:r>
        <w:br/>
      </w:r>
      <w:r>
        <w:br/>
      </w:r>
      <w:r>
        <w:rPr>
          <w:rStyle w:val="VerbatimChar"/>
        </w:rPr>
        <w:t xml:space="preserve"># Read the original and revised bills of materials (BOM)</w:t>
      </w:r>
      <w:r>
        <w:br/>
      </w:r>
      <w:r>
        <w:rPr>
          <w:rStyle w:val="VerbatimChar"/>
        </w:rPr>
        <w:t xml:space="preserve">bom_before = pd.read_csv('before_bom.csv')  # columns: ItemCode, Description, Category, Unit, Qty, UnitCost, PlanRef</w:t>
      </w:r>
      <w:r>
        <w:br/>
      </w:r>
      <w:r>
        <w:rPr>
          <w:rStyle w:val="VerbatimChar"/>
        </w:rPr>
        <w:t xml:space="preserve">bom_after  = pd.read_csv('after_bom.csv')   # same columns as above</w:t>
      </w:r>
      <w:r>
        <w:br/>
      </w:r>
      <w:r>
        <w:br/>
      </w:r>
      <w:r>
        <w:rPr>
          <w:rStyle w:val="VerbatimChar"/>
        </w:rPr>
        <w:t xml:space="preserve"># Merge the two datasets on a unique identifier such as ItemCode and PlanRef</w:t>
      </w:r>
      <w:r>
        <w:br/>
      </w:r>
      <w:r>
        <w:rPr>
          <w:rStyle w:val="VerbatimChar"/>
        </w:rPr>
        <w:t xml:space="preserve">merged = pd.merge(bom_before, bom_after,</w:t>
      </w:r>
      <w:r>
        <w:br/>
      </w:r>
      <w:r>
        <w:rPr>
          <w:rStyle w:val="VerbatimChar"/>
        </w:rPr>
        <w:t xml:space="preserve">                  on=['ItemCode', 'PlanRef'],</w:t>
      </w:r>
      <w:r>
        <w:br/>
      </w:r>
      <w:r>
        <w:rPr>
          <w:rStyle w:val="VerbatimChar"/>
        </w:rPr>
        <w:t xml:space="preserve">                  how='outer',</w:t>
      </w:r>
      <w:r>
        <w:br/>
      </w:r>
      <w:r>
        <w:rPr>
          <w:rStyle w:val="VerbatimChar"/>
        </w:rPr>
        <w:t xml:space="preserve">                  suffixes=('_Before', '_After'))</w:t>
      </w:r>
      <w:r>
        <w:br/>
      </w:r>
      <w:r>
        <w:br/>
      </w:r>
      <w:r>
        <w:rPr>
          <w:rStyle w:val="VerbatimChar"/>
        </w:rPr>
        <w:t xml:space="preserve"># Replace NaN values with zeros for missing items (e.g., a new item in the after list)</w:t>
      </w:r>
      <w:r>
        <w:br/>
      </w:r>
      <w:r>
        <w:rPr>
          <w:rStyle w:val="VerbatimChar"/>
        </w:rPr>
        <w:t xml:space="preserve">for col in ['Qty_Before', 'Qty_After', 'UnitCost_Before', 'UnitCost_After']:</w:t>
      </w:r>
      <w:r>
        <w:br/>
      </w:r>
      <w:r>
        <w:rPr>
          <w:rStyle w:val="VerbatimChar"/>
        </w:rPr>
        <w:t xml:space="preserve">    merged[col] = merged[col].fillna(0)</w:t>
      </w:r>
      <w:r>
        <w:br/>
      </w:r>
      <w:r>
        <w:br/>
      </w:r>
      <w:r>
        <w:rPr>
          <w:rStyle w:val="VerbatimChar"/>
        </w:rPr>
        <w:t xml:space="preserve"># Compute extended costs and variances</w:t>
      </w:r>
      <w:r>
        <w:br/>
      </w:r>
      <w:r>
        <w:rPr>
          <w:rStyle w:val="VerbatimChar"/>
        </w:rPr>
        <w:t xml:space="preserve">merged['Extended_Before'] = merged['Qty_Before'] * merged['UnitCost_Before']</w:t>
      </w:r>
      <w:r>
        <w:br/>
      </w:r>
      <w:r>
        <w:rPr>
          <w:rStyle w:val="VerbatimChar"/>
        </w:rPr>
        <w:t xml:space="preserve">merged['Extended_After']  = merged['Qty_After']  * merged['UnitCost_After']</w:t>
      </w:r>
      <w:r>
        <w:br/>
      </w:r>
      <w:r>
        <w:rPr>
          <w:rStyle w:val="VerbatimChar"/>
        </w:rPr>
        <w:t xml:space="preserve">merged['DollarVariance']  = merged['Extended_After'] - merged['Extended_Before']</w:t>
      </w:r>
      <w:r>
        <w:br/>
      </w:r>
      <w:r>
        <w:rPr>
          <w:rStyle w:val="VerbatimChar"/>
        </w:rPr>
        <w:t xml:space="preserve">merged['PercentVariance'] = 100 * (merged['Extended_After'] / merged['Extended_Before'].replace(0, 1) - 1)</w:t>
      </w:r>
      <w:r>
        <w:br/>
      </w:r>
      <w:r>
        <w:br/>
      </w:r>
      <w:r>
        <w:rPr>
          <w:rStyle w:val="VerbatimChar"/>
        </w:rPr>
        <w:t xml:space="preserve"># Add engineering notes by merging with a reference table if needed</w:t>
      </w:r>
      <w:r>
        <w:br/>
      </w:r>
      <w:r>
        <w:rPr>
          <w:rStyle w:val="VerbatimChar"/>
        </w:rPr>
        <w:t xml:space="preserve">notes = pd.read_csv('engineering_notes.csv')  # columns: ItemCode, PlanRef, Note</w:t>
      </w:r>
      <w:r>
        <w:br/>
      </w:r>
      <w:r>
        <w:rPr>
          <w:rStyle w:val="VerbatimChar"/>
        </w:rPr>
        <w:t xml:space="preserve">merged = merged.merge(notes, on=['ItemCode', 'PlanRef'], how='left')</w:t>
      </w:r>
      <w:r>
        <w:br/>
      </w:r>
      <w:r>
        <w:br/>
      </w:r>
      <w:r>
        <w:rPr>
          <w:rStyle w:val="VerbatimChar"/>
        </w:rPr>
        <w:t xml:space="preserve"># Write a detailed and summary report to Excel</w:t>
      </w:r>
      <w:r>
        <w:br/>
      </w:r>
      <w:r>
        <w:rPr>
          <w:rStyle w:val="VerbatimChar"/>
        </w:rPr>
        <w:t xml:space="preserve">with pd.ExcelWriter('ECIR_output.xlsx') as writer:</w:t>
      </w:r>
      <w:r>
        <w:br/>
      </w:r>
      <w:r>
        <w:rPr>
          <w:rStyle w:val="VerbatimChar"/>
        </w:rPr>
        <w:t xml:space="preserve">    merged.to_excel(writer, sheet_name='Detail', index=False)</w:t>
      </w:r>
      <w:r>
        <w:br/>
      </w:r>
      <w:r>
        <w:rPr>
          <w:rStyle w:val="VerbatimChar"/>
        </w:rPr>
        <w:t xml:space="preserve">    summary = merged.groupby('Category').agg(</w:t>
      </w:r>
      <w:r>
        <w:br/>
      </w:r>
      <w:r>
        <w:rPr>
          <w:rStyle w:val="VerbatimChar"/>
        </w:rPr>
        <w:t xml:space="preserve">        Qty_Before=('Qty_Before','sum'),</w:t>
      </w:r>
      <w:r>
        <w:br/>
      </w:r>
      <w:r>
        <w:rPr>
          <w:rStyle w:val="VerbatimChar"/>
        </w:rPr>
        <w:t xml:space="preserve">        Qty_After=('Qty_After','sum'),</w:t>
      </w:r>
      <w:r>
        <w:br/>
      </w:r>
      <w:r>
        <w:rPr>
          <w:rStyle w:val="VerbatimChar"/>
        </w:rPr>
        <w:t xml:space="preserve">        Cost_Before=('Extended_Before','sum'),</w:t>
      </w:r>
      <w:r>
        <w:br/>
      </w:r>
      <w:r>
        <w:rPr>
          <w:rStyle w:val="VerbatimChar"/>
        </w:rPr>
        <w:t xml:space="preserve">        Cost_After=('Extended_After','sum'),</w:t>
      </w:r>
      <w:r>
        <w:br/>
      </w:r>
      <w:r>
        <w:rPr>
          <w:rStyle w:val="VerbatimChar"/>
        </w:rPr>
        <w:t xml:space="preserve">        DollarVariance=('DollarVariance','sum')</w:t>
      </w:r>
      <w:r>
        <w:br/>
      </w:r>
      <w:r>
        <w:rPr>
          <w:rStyle w:val="VerbatimChar"/>
        </w:rPr>
        <w:t xml:space="preserve">    )</w:t>
      </w:r>
      <w:r>
        <w:br/>
      </w:r>
      <w:r>
        <w:rPr>
          <w:rStyle w:val="VerbatimChar"/>
        </w:rPr>
        <w:t xml:space="preserve">    summary['PercentVariance'] = 100 * (summary['Cost_After'] / summary['Cost_Before'].replace(0, 1) - 1)</w:t>
      </w:r>
      <w:r>
        <w:br/>
      </w:r>
      <w:r>
        <w:rPr>
          <w:rStyle w:val="VerbatimChar"/>
        </w:rPr>
        <w:t xml:space="preserve">    summary.to_excel(writer, sheet_name='Summary')</w:t>
      </w:r>
    </w:p>
    <w:p>
      <w:pPr>
        <w:pStyle w:val="FirstParagraph"/>
      </w:pPr>
      <w:r>
        <w:t xml:space="preserve">This script reads the before/after BOM files, merges them, calculates variances, attaches engineering notes and exports both a detailed comparison sheet and a summary sheet. Estimators can run the script automatically within a larger workflow (e.g., triggered by a new engineering release) to produce the ECIR.</w:t>
      </w:r>
    </w:p>
    <w:bookmarkEnd w:id="49"/>
    <w:bookmarkStart w:id="56" w:name="X9f5dd10503d6bebac2f4164aa33f0c8260f28af"/>
    <w:p>
      <w:pPr>
        <w:pStyle w:val="Heading2"/>
      </w:pPr>
      <w:r>
        <w:t xml:space="preserve">5. Recommendations for integrating into a learning‑first platform (MindFlow)</w:t>
      </w:r>
    </w:p>
    <w:bookmarkStart w:id="50" w:name="interactive-exploration-and-tooltips"/>
    <w:p>
      <w:pPr>
        <w:pStyle w:val="Heading3"/>
      </w:pPr>
      <w:r>
        <w:t xml:space="preserve">5.1 Interactive exploration and tooltips</w:t>
      </w:r>
    </w:p>
    <w:p>
      <w:pPr>
        <w:pStyle w:val="Compact"/>
        <w:numPr>
          <w:ilvl w:val="0"/>
          <w:numId w:val="1002"/>
        </w:numPr>
      </w:pPr>
      <w:r>
        <w:rPr>
          <w:b/>
          <w:bCs/>
        </w:rPr>
        <w:t xml:space="preserve">Contextual tooltips</w:t>
      </w:r>
      <w:r>
        <w:t xml:space="preserve">: Hovering over an item in the report could show definitions (e.g., “What is a glulam?”), installation tips, or images of hardware. This helps junior estimators and purchasing agents understand unfamiliar items.</w:t>
      </w:r>
    </w:p>
    <w:p>
      <w:pPr>
        <w:pStyle w:val="Compact"/>
        <w:numPr>
          <w:ilvl w:val="0"/>
          <w:numId w:val="1002"/>
        </w:numPr>
      </w:pPr>
      <w:r>
        <w:rPr>
          <w:b/>
          <w:bCs/>
        </w:rPr>
        <w:t xml:space="preserve">Plan sheet links</w:t>
      </w:r>
      <w:r>
        <w:t xml:space="preserve">: Each plan reference should hyperlink to the corresponding page in the drawing set. Clicking the link opens the sheet and highlights the changed element, reinforcing the connection between the estimate and the engineering document.</w:t>
      </w:r>
    </w:p>
    <w:p>
      <w:pPr>
        <w:pStyle w:val="Compact"/>
        <w:numPr>
          <w:ilvl w:val="0"/>
          <w:numId w:val="1002"/>
        </w:numPr>
      </w:pPr>
      <w:r>
        <w:rPr>
          <w:b/>
          <w:bCs/>
        </w:rPr>
        <w:t xml:space="preserve">Engineering rationale pop‑ups</w:t>
      </w:r>
      <w:r>
        <w:t xml:space="preserve">: Provide summarized reasons for the change (e.g., “Hold‑down added for increased lateral load per sheet S3.2”), with references to building codes or engineering standards. These pop‑ups educate users on structural principles and code requirements.</w:t>
      </w:r>
    </w:p>
    <w:bookmarkEnd w:id="50"/>
    <w:bookmarkStart w:id="51" w:name="visualizations"/>
    <w:p>
      <w:pPr>
        <w:pStyle w:val="Heading3"/>
      </w:pPr>
      <w:r>
        <w:t xml:space="preserve">5.2 Visualizations</w:t>
      </w:r>
    </w:p>
    <w:p>
      <w:pPr>
        <w:pStyle w:val="Compact"/>
        <w:numPr>
          <w:ilvl w:val="0"/>
          <w:numId w:val="1003"/>
        </w:numPr>
      </w:pPr>
      <w:r>
        <w:rPr>
          <w:b/>
          <w:bCs/>
        </w:rPr>
        <w:t xml:space="preserve">Variance heat map</w:t>
      </w:r>
      <w:r>
        <w:t xml:space="preserve">: A chart or heat map can visualise percentage and dollar variances by category or by plan sheet, making it easy to spot major cost drivers.</w:t>
      </w:r>
    </w:p>
    <w:p>
      <w:pPr>
        <w:pStyle w:val="Compact"/>
        <w:numPr>
          <w:ilvl w:val="0"/>
          <w:numId w:val="1003"/>
        </w:numPr>
      </w:pPr>
      <w:r>
        <w:rPr>
          <w:b/>
          <w:bCs/>
        </w:rPr>
        <w:t xml:space="preserve">Before/after diagrams</w:t>
      </w:r>
      <w:r>
        <w:t xml:space="preserve">: Side‑by‑side images or diagrams of the affected assembly (e.g., framing layout) help users visualize what changed. Integrating digital twin technology (3D scans) allows for zoom‑ins on specific connections, following the “single source of truth” concept</w:t>
      </w:r>
      <w:hyperlink r:id="rId28">
        <w:r>
          <w:rPr>
            <w:rStyle w:val="Hyperlink"/>
          </w:rPr>
          <w:t xml:space="preserve">[21]</w:t>
        </w:r>
      </w:hyperlink>
      <w:r>
        <w:t xml:space="preserve">.</w:t>
      </w:r>
    </w:p>
    <w:bookmarkEnd w:id="51"/>
    <w:bookmarkStart w:id="52" w:name="workflow-automation-and-collaboration"/>
    <w:p>
      <w:pPr>
        <w:pStyle w:val="Heading3"/>
      </w:pPr>
      <w:r>
        <w:t xml:space="preserve">5.3 Workflow automation and collaboration</w:t>
      </w:r>
    </w:p>
    <w:p>
      <w:pPr>
        <w:pStyle w:val="Compact"/>
        <w:numPr>
          <w:ilvl w:val="0"/>
          <w:numId w:val="1004"/>
        </w:numPr>
      </w:pPr>
      <w:r>
        <w:rPr>
          <w:b/>
          <w:bCs/>
        </w:rPr>
        <w:t xml:space="preserve">Automated change detection</w:t>
      </w:r>
      <w:r>
        <w:t xml:space="preserve">: Integrate with BIM/plan‑management tools to detect changes in structural drawings and automatically flag items requiring an ECIR. Each flagged item triggers the Python script described above.</w:t>
      </w:r>
    </w:p>
    <w:p>
      <w:pPr>
        <w:pStyle w:val="Compact"/>
        <w:numPr>
          <w:ilvl w:val="0"/>
          <w:numId w:val="1004"/>
        </w:numPr>
      </w:pPr>
      <w:r>
        <w:rPr>
          <w:b/>
          <w:bCs/>
        </w:rPr>
        <w:t xml:space="preserve">Approval routing</w:t>
      </w:r>
      <w:r>
        <w:t xml:space="preserve">: Implement a digital change control board where engineers, estimators, purchasing managers and builders can review and approve changes. The platform should record approvals and comments, adhering to the change management procedures described in best‑practice guides</w:t>
      </w:r>
      <w:hyperlink r:id="rId34">
        <w:r>
          <w:rPr>
            <w:rStyle w:val="Hyperlink"/>
          </w:rPr>
          <w:t xml:space="preserve">[13]</w:t>
        </w:r>
      </w:hyperlink>
      <w:r>
        <w:t xml:space="preserve">.</w:t>
      </w:r>
    </w:p>
    <w:p>
      <w:pPr>
        <w:pStyle w:val="Compact"/>
        <w:numPr>
          <w:ilvl w:val="0"/>
          <w:numId w:val="1004"/>
        </w:numPr>
      </w:pPr>
      <w:r>
        <w:rPr>
          <w:b/>
          <w:bCs/>
        </w:rPr>
        <w:t xml:space="preserve">Change log and history</w:t>
      </w:r>
      <w:r>
        <w:t xml:space="preserve">: Maintain a searchable database of past ECIRs, including cost variances, engineering notes and lessons learned. Users can query past reports to forecast the impact of similar changes.</w:t>
      </w:r>
    </w:p>
    <w:bookmarkEnd w:id="52"/>
    <w:bookmarkStart w:id="53" w:name="educational-content-and-ai-assistance"/>
    <w:p>
      <w:pPr>
        <w:pStyle w:val="Heading3"/>
      </w:pPr>
      <w:r>
        <w:t xml:space="preserve">5.4 Educational content and AI assistance</w:t>
      </w:r>
    </w:p>
    <w:p>
      <w:pPr>
        <w:pStyle w:val="Compact"/>
        <w:numPr>
          <w:ilvl w:val="0"/>
          <w:numId w:val="1005"/>
        </w:numPr>
      </w:pPr>
      <w:r>
        <w:rPr>
          <w:b/>
          <w:bCs/>
        </w:rPr>
        <w:t xml:space="preserve">Inline explanations</w:t>
      </w:r>
      <w:r>
        <w:t xml:space="preserve">: Use natural‑language generation to interpret cost data and generate a concise summary (as shown in Section 3). Include recommended actions (e.g., “update purchase orders,” “notify framers”) and highlight potential schedule impacts.</w:t>
      </w:r>
    </w:p>
    <w:p>
      <w:pPr>
        <w:pStyle w:val="Compact"/>
        <w:numPr>
          <w:ilvl w:val="0"/>
          <w:numId w:val="1005"/>
        </w:numPr>
      </w:pPr>
      <w:r>
        <w:rPr>
          <w:b/>
          <w:bCs/>
        </w:rPr>
        <w:t xml:space="preserve">Video or micro‑lessons</w:t>
      </w:r>
      <w:r>
        <w:t xml:space="preserve">: For complex items, embed short videos or slideshows explaining how to install the hardware correctly or why a glulam beam requires a particular size. These educational resources support continuous learning for field crews.</w:t>
      </w:r>
    </w:p>
    <w:bookmarkEnd w:id="53"/>
    <w:bookmarkStart w:id="55" w:name="integration-with-existing-systems"/>
    <w:p>
      <w:pPr>
        <w:pStyle w:val="Heading3"/>
      </w:pPr>
      <w:r>
        <w:t xml:space="preserve">5.5 Integration with existing systems</w:t>
      </w:r>
    </w:p>
    <w:p>
      <w:pPr>
        <w:pStyle w:val="Compact"/>
        <w:numPr>
          <w:ilvl w:val="0"/>
          <w:numId w:val="1006"/>
        </w:numPr>
      </w:pPr>
      <w:r>
        <w:rPr>
          <w:b/>
          <w:bCs/>
        </w:rPr>
        <w:t xml:space="preserve">Data connectors</w:t>
      </w:r>
      <w:r>
        <w:t xml:space="preserve">: Provide connectors to import/export data from Excel, estimating software (e.g., Excel macros, CSV), purchasing platforms and ERP systems. For example, the Python script can pull data directly from a SharePoint folder or Azure Data Lake.</w:t>
      </w:r>
    </w:p>
    <w:p>
      <w:pPr>
        <w:pStyle w:val="Compact"/>
        <w:numPr>
          <w:ilvl w:val="0"/>
          <w:numId w:val="1006"/>
        </w:numPr>
      </w:pPr>
      <w:r>
        <w:rPr>
          <w:b/>
          <w:bCs/>
        </w:rPr>
        <w:t xml:space="preserve">API endpoints</w:t>
      </w:r>
      <w:r>
        <w:t xml:space="preserve">: When the MindFlow platform expands, expose APIs so external systems (e.g., builder portals) can query ECIR data. This fosters transparency and aligns with the collaborative recommendations of the industry</w:t>
      </w:r>
      <w:hyperlink r:id="rId54">
        <w:r>
          <w:rPr>
            <w:rStyle w:val="Hyperlink"/>
          </w:rPr>
          <w:t xml:space="preserve">[22]</w:t>
        </w:r>
      </w:hyperlink>
      <w:r>
        <w:t xml:space="preserve">.</w:t>
      </w:r>
    </w:p>
    <w:bookmarkEnd w:id="55"/>
    <w:bookmarkEnd w:id="56"/>
    <w:bookmarkStart w:id="57" w:name="conclusion"/>
    <w:p>
      <w:pPr>
        <w:pStyle w:val="Heading2"/>
      </w:pPr>
      <w:r>
        <w:t xml:space="preserve">Conclusion</w:t>
      </w:r>
    </w:p>
    <w:p>
      <w:pPr>
        <w:pStyle w:val="FirstParagraph"/>
      </w:pPr>
      <w:r>
        <w:t xml:space="preserve">Developing an Engineering Change Impact Report (ECIR) process for production home‑building requires borrowing best practices from construction change‑order management and engineering change management. Clear procedures, thorough documentation, impact assessment, cross‑functional collaboration and systematic approval are essential. By designing standardized ECIR templates, automating the comparison of “before” and “after” material lists, and embedding educational features into a digital platform like MindFlow, estimators can provide transparent, data‑driven reports that support purchasing decisions, reduce disputes and foster continuous learning.</w:t>
      </w:r>
    </w:p>
    <w:bookmarkEnd w:id="57"/>
    <w:bookmarkEnd w:id="58"/>
    <w:bookmarkEnd w:id="59"/>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54">
        <w:r>
          <w:rPr>
            <w:rStyle w:val="Hyperlink"/>
          </w:rPr>
          <w:t xml:space="preserve">[22]</w:t>
        </w:r>
      </w:hyperlink>
      <w:r>
        <w:t xml:space="preserve"> </w:t>
      </w:r>
      <w:r>
        <w:t xml:space="preserve">Understanding change orders | Buildxact US</w:t>
      </w:r>
    </w:p>
    <w:p>
      <w:pPr>
        <w:pStyle w:val="BodyText"/>
      </w:pPr>
      <w:hyperlink r:id="rId60">
        <w:r>
          <w:rPr>
            <w:rStyle w:val="Hyperlink"/>
          </w:rPr>
          <w:t xml:space="preserve">https://www.buildxact.com/us/blog/change-order/</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8">
        <w:r>
          <w:rPr>
            <w:rStyle w:val="Hyperlink"/>
          </w:rPr>
          <w:t xml:space="preserve">[21]</w:t>
        </w:r>
      </w:hyperlink>
      <w:r>
        <w:t xml:space="preserve"> </w:t>
      </w:r>
      <w:r>
        <w:t xml:space="preserve">9 Step Guide to Construction Change Order Management | Matterport</w:t>
      </w:r>
    </w:p>
    <w:p>
      <w:pPr>
        <w:pStyle w:val="BodyText"/>
      </w:pPr>
      <w:hyperlink r:id="rId61">
        <w:r>
          <w:rPr>
            <w:rStyle w:val="Hyperlink"/>
          </w:rPr>
          <w:t xml:space="preserve">https://matterport.com/blog/construction-change-order-management</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1">
        <w:r>
          <w:rPr>
            <w:rStyle w:val="Hyperlink"/>
          </w:rPr>
          <w:t xml:space="preserve">[20]</w:t>
        </w:r>
      </w:hyperlink>
      <w:r>
        <w:t xml:space="preserve"> </w:t>
      </w:r>
      <w:r>
        <w:t xml:space="preserve">Engineering Change Order Insights for Engineers | Accuris</w:t>
      </w:r>
    </w:p>
    <w:p>
      <w:pPr>
        <w:pStyle w:val="BodyText"/>
      </w:pPr>
      <w:hyperlink r:id="rId62">
        <w:r>
          <w:rPr>
            <w:rStyle w:val="Hyperlink"/>
          </w:rPr>
          <w:t xml:space="preserve">https://accuristech.com/engineering-change-order/</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r>
        <w:t xml:space="preserve">Best Practices for Engineering Change Management</w:t>
      </w:r>
    </w:p>
    <w:p>
      <w:pPr>
        <w:pStyle w:val="BodyText"/>
      </w:pPr>
      <w:hyperlink r:id="rId63">
        <w:r>
          <w:rPr>
            <w:rStyle w:val="Hyperlink"/>
          </w:rPr>
          <w:t xml:space="preserve">https://technosofteng.com/blogs/guide-to-engineering-change-management/</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ccuristech.com/engineering-change-order/" TargetMode="External" /><Relationship Type="http://schemas.openxmlformats.org/officeDocument/2006/relationships/hyperlink" Id="rId31" Target="https://accuristech.com/engineering-change-order/#:~:text=An%20engineering%20change%20order%20,ECR" TargetMode="External" /><Relationship Type="http://schemas.openxmlformats.org/officeDocument/2006/relationships/hyperlink" Id="rId33" Target="https://accuristech.com/engineering-change-order/#:~:text=Common%20challenges%20with%20the%20ECO,process" TargetMode="External" /><Relationship Type="http://schemas.openxmlformats.org/officeDocument/2006/relationships/hyperlink" Id="rId32" Target="https://accuristech.com/engineering-change-order/#:~:text=The%20engineering%20change%20process%3A%20triggers,for%20initiating%20an%20ECO" TargetMode="External" /><Relationship Type="http://schemas.openxmlformats.org/officeDocument/2006/relationships/hyperlink" Id="rId41" Target="https://accuristech.com/engineering-change-order/#:~:text=change%20control%20board,ensuring%20effective%20collaboration%20throughout%20development" TargetMode="External" /><Relationship Type="http://schemas.openxmlformats.org/officeDocument/2006/relationships/hyperlink" Id="rId61" Target="https://matterport.com/blog/construction-change-order-management" TargetMode="External" /><Relationship Type="http://schemas.openxmlformats.org/officeDocument/2006/relationships/hyperlink" Id="rId26" Target="https://matterport.com/blog/construction-change-order-management#:~:text=2,impacts%20before%20they%20escalate" TargetMode="External" /><Relationship Type="http://schemas.openxmlformats.org/officeDocument/2006/relationships/hyperlink" Id="rId27" Target="https://matterport.com/blog/construction-change-order-management#:~:text=3,schedule%20adjustments" TargetMode="External" /><Relationship Type="http://schemas.openxmlformats.org/officeDocument/2006/relationships/hyperlink" Id="rId28" Target="https://matterport.com/blog/construction-change-order-management#:~:text=4,complete%20change%20order%20package" TargetMode="External" /><Relationship Type="http://schemas.openxmlformats.org/officeDocument/2006/relationships/hyperlink" Id="rId25" Target="https://matterport.com/blog/construction-change-order-management#:~:text=Change%20orders%20will%20always%20be,margins%2C%20and%20keep%20work%20moving" TargetMode="External" /><Relationship Type="http://schemas.openxmlformats.org/officeDocument/2006/relationships/hyperlink" Id="rId29" Target="https://matterport.com/blog/construction-change-order-management#:~:text=documentation%2C%20and%20every%20outcome%20should,be%20recorded%20in%20writing" TargetMode="External" /><Relationship Type="http://schemas.openxmlformats.org/officeDocument/2006/relationships/hyperlink" Id="rId63" Target="https://technosofteng.com/blogs/guide-to-engineering-change-management/" TargetMode="External" /><Relationship Type="http://schemas.openxmlformats.org/officeDocument/2006/relationships/hyperlink" Id="rId39" Target="https://technosofteng.com/blogs/guide-to-engineering-change-management/#:~:text=1" TargetMode="External" /><Relationship Type="http://schemas.openxmlformats.org/officeDocument/2006/relationships/hyperlink" Id="rId34" Target="https://technosofteng.com/blogs/guide-to-engineering-change-management/#:~:text=1,Procedures" TargetMode="External" /><Relationship Type="http://schemas.openxmlformats.org/officeDocument/2006/relationships/hyperlink" Id="rId36" Target="https://technosofteng.com/blogs/guide-to-engineering-change-management/#:~:text=4" TargetMode="External" /><Relationship Type="http://schemas.openxmlformats.org/officeDocument/2006/relationships/hyperlink" Id="rId37" Target="https://technosofteng.com/blogs/guide-to-engineering-change-management/#:~:text=5.%20Cross" TargetMode="External" /><Relationship Type="http://schemas.openxmlformats.org/officeDocument/2006/relationships/hyperlink" Id="rId38" Target="https://technosofteng.com/blogs/guide-to-engineering-change-management/#:~:text=6" TargetMode="External" /><Relationship Type="http://schemas.openxmlformats.org/officeDocument/2006/relationships/hyperlink" Id="rId40" Target="https://technosofteng.com/blogs/guide-to-engineering-change-management/#:~:text=An%20Engineering%20Change%20Request%20,the%20necessary%20approvals%20for%20implementation" TargetMode="External" /><Relationship Type="http://schemas.openxmlformats.org/officeDocument/2006/relationships/hyperlink" Id="rId35" Target="https://technosofteng.com/blogs/guide-to-engineering-change-management/#:~:text=Before%20implementing%20any%20change%2C%20conduct,helps%20in%20making%20informed%20decisions" TargetMode="External" /><Relationship Type="http://schemas.openxmlformats.org/officeDocument/2006/relationships/hyperlink" Id="rId60" Target="https://www.buildxact.com/us/blog/change-order/" TargetMode="External" /><Relationship Type="http://schemas.openxmlformats.org/officeDocument/2006/relationships/hyperlink" Id="rId22" Target="https://www.buildxact.com/us/blog/change-order/#:~:text=,amount%20and%20type%20of%20materials" TargetMode="External" /><Relationship Type="http://schemas.openxmlformats.org/officeDocument/2006/relationships/hyperlink" Id="rId54" Target="https://www.buildxact.com/us/blog/change-order/#:~:text=1,the%20changes%20throughout%20the%20project" TargetMode="External" /><Relationship Type="http://schemas.openxmlformats.org/officeDocument/2006/relationships/hyperlink" Id="rId23" Target="https://www.buildxact.com/us/blog/change-order/#:~:text=As%20stated%2C%20even%20a%20small,be%20lost%20or%20accidentally%20deleted" TargetMode="External" /><Relationship Type="http://schemas.openxmlformats.org/officeDocument/2006/relationships/hyperlink" Id="rId21" Target="https://www.buildxact.com/us/blog/change-order/#:~:text=Change%20orders%20are%20standard%20practice,is%20on%20the%20same%20page" TargetMode="External" /><Relationship Type="http://schemas.openxmlformats.org/officeDocument/2006/relationships/hyperlink" Id="rId24" Target="https://www.buildxact.com/us/blog/change-order/#:~:text=Key%20elements%20of%20a%20change,part%20of%20a%20construction%20contract" TargetMode="External" /></Relationships>
</file>

<file path=word/_rels/footnotes.xml.rels><?xml version="1.0" encoding="UTF-8"?><Relationships xmlns="http://schemas.openxmlformats.org/package/2006/relationships"><Relationship Type="http://schemas.openxmlformats.org/officeDocument/2006/relationships/hyperlink" Id="rId62" Target="https://accuristech.com/engineering-change-order/" TargetMode="External" /><Relationship Type="http://schemas.openxmlformats.org/officeDocument/2006/relationships/hyperlink" Id="rId31" Target="https://accuristech.com/engineering-change-order/#:~:text=An%20engineering%20change%20order%20,ECR" TargetMode="External" /><Relationship Type="http://schemas.openxmlformats.org/officeDocument/2006/relationships/hyperlink" Id="rId33" Target="https://accuristech.com/engineering-change-order/#:~:text=Common%20challenges%20with%20the%20ECO,process" TargetMode="External" /><Relationship Type="http://schemas.openxmlformats.org/officeDocument/2006/relationships/hyperlink" Id="rId32" Target="https://accuristech.com/engineering-change-order/#:~:text=The%20engineering%20change%20process%3A%20triggers,for%20initiating%20an%20ECO" TargetMode="External" /><Relationship Type="http://schemas.openxmlformats.org/officeDocument/2006/relationships/hyperlink" Id="rId41" Target="https://accuristech.com/engineering-change-order/#:~:text=change%20control%20board,ensuring%20effective%20collaboration%20throughout%20development" TargetMode="External" /><Relationship Type="http://schemas.openxmlformats.org/officeDocument/2006/relationships/hyperlink" Id="rId61" Target="https://matterport.com/blog/construction-change-order-management" TargetMode="External" /><Relationship Type="http://schemas.openxmlformats.org/officeDocument/2006/relationships/hyperlink" Id="rId26" Target="https://matterport.com/blog/construction-change-order-management#:~:text=2,impacts%20before%20they%20escalate" TargetMode="External" /><Relationship Type="http://schemas.openxmlformats.org/officeDocument/2006/relationships/hyperlink" Id="rId27" Target="https://matterport.com/blog/construction-change-order-management#:~:text=3,schedule%20adjustments" TargetMode="External" /><Relationship Type="http://schemas.openxmlformats.org/officeDocument/2006/relationships/hyperlink" Id="rId28" Target="https://matterport.com/blog/construction-change-order-management#:~:text=4,complete%20change%20order%20package" TargetMode="External" /><Relationship Type="http://schemas.openxmlformats.org/officeDocument/2006/relationships/hyperlink" Id="rId25" Target="https://matterport.com/blog/construction-change-order-management#:~:text=Change%20orders%20will%20always%20be,margins%2C%20and%20keep%20work%20moving" TargetMode="External" /><Relationship Type="http://schemas.openxmlformats.org/officeDocument/2006/relationships/hyperlink" Id="rId29" Target="https://matterport.com/blog/construction-change-order-management#:~:text=documentation%2C%20and%20every%20outcome%20should,be%20recorded%20in%20writing" TargetMode="External" /><Relationship Type="http://schemas.openxmlformats.org/officeDocument/2006/relationships/hyperlink" Id="rId63" Target="https://technosofteng.com/blogs/guide-to-engineering-change-management/" TargetMode="External" /><Relationship Type="http://schemas.openxmlformats.org/officeDocument/2006/relationships/hyperlink" Id="rId39" Target="https://technosofteng.com/blogs/guide-to-engineering-change-management/#:~:text=1" TargetMode="External" /><Relationship Type="http://schemas.openxmlformats.org/officeDocument/2006/relationships/hyperlink" Id="rId34" Target="https://technosofteng.com/blogs/guide-to-engineering-change-management/#:~:text=1,Procedures" TargetMode="External" /><Relationship Type="http://schemas.openxmlformats.org/officeDocument/2006/relationships/hyperlink" Id="rId36" Target="https://technosofteng.com/blogs/guide-to-engineering-change-management/#:~:text=4" TargetMode="External" /><Relationship Type="http://schemas.openxmlformats.org/officeDocument/2006/relationships/hyperlink" Id="rId37" Target="https://technosofteng.com/blogs/guide-to-engineering-change-management/#:~:text=5.%20Cross" TargetMode="External" /><Relationship Type="http://schemas.openxmlformats.org/officeDocument/2006/relationships/hyperlink" Id="rId38" Target="https://technosofteng.com/blogs/guide-to-engineering-change-management/#:~:text=6" TargetMode="External" /><Relationship Type="http://schemas.openxmlformats.org/officeDocument/2006/relationships/hyperlink" Id="rId40" Target="https://technosofteng.com/blogs/guide-to-engineering-change-management/#:~:text=An%20Engineering%20Change%20Request%20,the%20necessary%20approvals%20for%20implementation" TargetMode="External" /><Relationship Type="http://schemas.openxmlformats.org/officeDocument/2006/relationships/hyperlink" Id="rId35" Target="https://technosofteng.com/blogs/guide-to-engineering-change-management/#:~:text=Before%20implementing%20any%20change%2C%20conduct,helps%20in%20making%20informed%20decisions" TargetMode="External" /><Relationship Type="http://schemas.openxmlformats.org/officeDocument/2006/relationships/hyperlink" Id="rId60" Target="https://www.buildxact.com/us/blog/change-order/" TargetMode="External" /><Relationship Type="http://schemas.openxmlformats.org/officeDocument/2006/relationships/hyperlink" Id="rId22" Target="https://www.buildxact.com/us/blog/change-order/#:~:text=,amount%20and%20type%20of%20materials" TargetMode="External" /><Relationship Type="http://schemas.openxmlformats.org/officeDocument/2006/relationships/hyperlink" Id="rId54" Target="https://www.buildxact.com/us/blog/change-order/#:~:text=1,the%20changes%20throughout%20the%20project" TargetMode="External" /><Relationship Type="http://schemas.openxmlformats.org/officeDocument/2006/relationships/hyperlink" Id="rId23" Target="https://www.buildxact.com/us/blog/change-order/#:~:text=As%20stated%2C%20even%20a%20small,be%20lost%20or%20accidentally%20deleted" TargetMode="External" /><Relationship Type="http://schemas.openxmlformats.org/officeDocument/2006/relationships/hyperlink" Id="rId21" Target="https://www.buildxact.com/us/blog/change-order/#:~:text=Change%20orders%20are%20standard%20practice,is%20on%20the%20same%20page" TargetMode="External" /><Relationship Type="http://schemas.openxmlformats.org/officeDocument/2006/relationships/hyperlink" Id="rId24" Target="https://www.buildxact.com/us/blog/change-order/#:~:text=Key%20elements%20of%20a%20change,part%20of%20a%20construction%20contr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2025-11-08T01:27:51Z</dcterms:created>
  <dcterms:modified xsi:type="dcterms:W3CDTF">2025-11-08T01:27:51Z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