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uwtpzkmp9874" w:id="0"/>
      <w:bookmarkEnd w:id="0"/>
      <w:r w:rsidDel="00000000" w:rsidR="00000000" w:rsidRPr="00000000">
        <w:rPr>
          <w:rFonts w:ascii="Yellowtail" w:cs="Yellowtail" w:eastAsia="Yellowtail" w:hAnsi="Yellowtail"/>
          <w:color w:val="000000"/>
          <w:sz w:val="36"/>
          <w:szCs w:val="36"/>
          <w:rtl w:val="0"/>
        </w:rPr>
        <w:t xml:space="preserve">코드 리뷰</w:t>
      </w:r>
      <w:r w:rsidDel="00000000" w:rsidR="00000000" w:rsidRPr="00000000">
        <w:rPr>
          <w:rFonts w:ascii="Yellowtail" w:cs="Yellowtail" w:eastAsia="Yellowtail" w:hAnsi="Yellowtail"/>
          <w:color w:val="000000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  <w:t xml:space="preserve">지뢰찾기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i2yc3xrk7l0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d44415"/>
          <w:rtl w:val="0"/>
        </w:rPr>
        <w:t xml:space="preserve">2019년 9월 2일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Rule="auto"/>
        <w:ind w:left="-1440" w:right="-1440" w:firstLine="0"/>
        <w:jc w:val="center"/>
        <w:rPr/>
      </w:pPr>
      <w:bookmarkStart w:colFirst="0" w:colLast="0" w:name="_o8jg7s1roq8t" w:id="2"/>
      <w:bookmarkEnd w:id="2"/>
      <w:r w:rsidDel="00000000" w:rsidR="00000000" w:rsidRPr="00000000">
        <w:rPr/>
        <w:drawing>
          <wp:inline distB="114300" distT="114300" distL="114300" distR="114300">
            <wp:extent cx="5400675" cy="23145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s8qbibrasl0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일시정지 기능의 구현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일시 정지 기능을 구현하여 게임의 씬을 자유롭게 오갈 수 있어서 굉장히 편했습니다.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525" cy="487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o8n3nbm8fp5g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깔끔하고 이쁜 인터페이스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콘솔창으로도 이렇게 이쁘게 만들 수 있구나 감탄을 하면서 코드를 읽었습니다.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1866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r2wxo3jv73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구조체의 활용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맵의 크기, 폭탄의 개수를 관리할 때 구조체를 활용하는데 굉장히 깔끔하고 보기 좋았습니다.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28875" cy="942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폭탄 또한 같은 맥락으로 게임에 필요한 정보를 한 곳에 모아 관리한다는 점에서 깔끔하고 보기 좋았고 관리에 용이함을 느꼈습니다.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6725" cy="1314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w5js84j0sc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치트 구현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치트가 구현되어 있어 디버깅에 유용하게 사용할 수 있었습니다.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18xacr8ftay3" w:id="7"/>
      <w:bookmarkEnd w:id="7"/>
      <w:r w:rsidDel="00000000" w:rsidR="00000000" w:rsidRPr="00000000">
        <w:rPr/>
        <w:drawing>
          <wp:inline distB="114300" distT="114300" distL="114300" distR="114300">
            <wp:extent cx="5724525" cy="38576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ldvdfpdunczw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인접 폭탄 개수 처리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구현을 할 때 폭탄 개수 확인 반복문안에서 구하도록 했는데, 위처럼 폭탄 생성 이후 일괄적으로 빈 공간의 인접 폭탄 개수를 넣어두면 코드가 굉장히 간결해질 수 있다는 걸 알았습니다.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38957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661un6fflcpz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로직 순서 정리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코드도 깔끔해서 읽기 수월했는데 로직 순서와 비교하면서 보니 더 빠르고 쉽게 이해할 수 있었습니다.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fd3dwut037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버그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인트로 화면에서 ESC를 한번이라도 누른 뒤, 게임 시작을 누르면 게임 화면에서 다시 메인화면으로 돌아오는 현상이 있습니다.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qqbg5nazl4d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버그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릭이 존재합니다.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footerReference r:id="rId16" w:type="default"/>
      <w:pgSz w:h="15840" w:w="12240"/>
      <w:pgMar w:bottom="1008" w:top="1008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Yellowtail">
    <w:embedRegular w:fontKey="{00000000-0000-0000-0000-000000000000}" r:id="rId1" w:subsetted="0"/>
  </w:font>
  <w:font w:name="Yanone Kaffeesatz">
    <w:embedRegular w:fontKey="{00000000-0000-0000-0000-000000000000}" r:id="rId2" w:subsetted="0"/>
    <w:embedBold w:fontKey="{00000000-0000-0000-0000-000000000000}" r:id="rId3" w:subsetted="0"/>
  </w:font>
  <w:font w:name="Source Sans Pr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4"/>
        <w:szCs w:val="14"/>
      </w:rPr>
    </w:pPr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3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trHeight w:val="660" w:hRule="atLeast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5" w:right="0" w:firstLine="0"/>
            <w:jc w:val="center"/>
            <w:rPr>
              <w:color w:val="ffffff"/>
              <w:sz w:val="28"/>
              <w:szCs w:val="28"/>
            </w:rPr>
          </w:pPr>
          <w:r w:rsidDel="00000000" w:rsidR="00000000" w:rsidRPr="00000000">
            <w:rPr>
              <w:color w:val="ffffff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225.0" w:type="dxa"/>
      <w:jc w:val="left"/>
      <w:tblInd w:w="-13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trHeight w:val="660" w:hRule="atLeast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ind w:left="75" w:firstLine="0"/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가로선" id="1" name="image4.png"/>
          <a:graphic>
            <a:graphicData uri="http://schemas.openxmlformats.org/drawingml/2006/picture">
              <pic:pic>
                <pic:nvPicPr>
                  <pic:cNvPr descr="가로선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ko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spacing w:before="480" w:lineRule="auto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-15" w:right="-15" w:firstLine="0"/>
    </w:pPr>
    <w:rPr>
      <w:rFonts w:ascii="Yanone Kaffeesatz" w:cs="Yanone Kaffeesatz" w:eastAsia="Yanone Kaffeesatz" w:hAnsi="Yanone Kaffeesatz"/>
      <w:color w:val="5e2b97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color w:val="ec7b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YanoneKaffeesatz-regular.ttf"/><Relationship Id="rId3" Type="http://schemas.openxmlformats.org/officeDocument/2006/relationships/font" Target="fonts/YanoneKaffeesatz-bold.ttf"/><Relationship Id="rId4" Type="http://schemas.openxmlformats.org/officeDocument/2006/relationships/font" Target="fonts/SourceSansPro-regular.ttf"/><Relationship Id="rId5" Type="http://schemas.openxmlformats.org/officeDocument/2006/relationships/font" Target="fonts/SourceSansPro-bold.ttf"/><Relationship Id="rId6" Type="http://schemas.openxmlformats.org/officeDocument/2006/relationships/font" Target="fonts/SourceSansPro-italic.ttf"/><Relationship Id="rId7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