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2537888C" w:rsidR="00902D12" w:rsidRDefault="007456BE" w:rsidP="00442D10">
            <w:pPr>
              <w:pStyle w:val="Kopfzeile"/>
              <w:spacing w:before="80" w:after="0"/>
              <w:jc w:val="both"/>
            </w:pPr>
            <w:r>
              <w:t>Implementierungsdokumentation</w:t>
            </w:r>
            <w:r w:rsidR="006F786F">
              <w:t xml:space="preserve"> </w:t>
            </w:r>
            <w:r w:rsidR="00070C4D">
              <w:rPr>
                <w:rFonts w:cs="Arial"/>
                <w:noProof/>
                <w:sz w:val="22"/>
                <w:lang w:val="en-US"/>
              </w:rPr>
              <w:t>MS_LYNC2013_WA_Update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673F95F8"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070C4D">
              <w:rPr>
                <w:b/>
                <w:noProof/>
                <w:lang w:val="en-US"/>
              </w:rPr>
              <w:t>ImplD_MS_LYNC2013_WA_Update_Vxxx.docx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3284187F" w:rsidR="003134E8" w:rsidRDefault="00070C4D" w:rsidP="00C530B1">
            <w:pPr>
              <w:spacing w:before="80"/>
              <w:rPr>
                <w:b/>
              </w:rPr>
            </w:pPr>
            <w:r>
              <w:rPr>
                <w:b/>
              </w:rPr>
              <w:t>07</w:t>
            </w:r>
            <w:bookmarkStart w:id="42" w:name="_GoBack"/>
            <w:bookmarkEnd w:id="42"/>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37"/>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4E6281F2" w:rsidR="00955530" w:rsidRDefault="00070C4D" w:rsidP="00902D12">
            <w:pPr>
              <w:rPr>
                <w:lang w:eastAsia="de-DE"/>
              </w:rPr>
            </w:pPr>
            <w:r>
              <w:rPr>
                <w:lang w:eastAsia="de-DE"/>
              </w:rPr>
              <w:t>0.0.2</w:t>
            </w:r>
          </w:p>
        </w:tc>
        <w:tc>
          <w:tcPr>
            <w:tcW w:w="1134" w:type="dxa"/>
            <w:tcMar>
              <w:top w:w="0" w:type="dxa"/>
              <w:left w:w="70" w:type="dxa"/>
              <w:bottom w:w="0" w:type="dxa"/>
              <w:right w:w="70" w:type="dxa"/>
            </w:tcMar>
          </w:tcPr>
          <w:p w14:paraId="6D0A37DB" w14:textId="0D535BD5" w:rsidR="00955530" w:rsidRDefault="00070C4D" w:rsidP="00902D12">
            <w:pPr>
              <w:rPr>
                <w:lang w:eastAsia="de-DE"/>
              </w:rPr>
            </w:pPr>
            <w:r>
              <w:rPr>
                <w:lang w:eastAsia="de-DE"/>
              </w:rPr>
              <w:t>07.11.2016</w:t>
            </w:r>
          </w:p>
        </w:tc>
        <w:tc>
          <w:tcPr>
            <w:tcW w:w="5103" w:type="dxa"/>
            <w:tcMar>
              <w:top w:w="0" w:type="dxa"/>
              <w:left w:w="70" w:type="dxa"/>
              <w:bottom w:w="0" w:type="dxa"/>
              <w:right w:w="70" w:type="dxa"/>
            </w:tcMar>
          </w:tcPr>
          <w:p w14:paraId="3C0DC365" w14:textId="79460566" w:rsidR="00955530" w:rsidRDefault="00070C4D"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7D41E002" w:rsidR="00955530" w:rsidRDefault="00070C4D"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5398CF1" w:rsidR="00902D12" w:rsidRPr="00442D10" w:rsidRDefault="00070C4D" w:rsidP="00442D10">
            <w:pPr>
              <w:rPr>
                <w:rFonts w:cs="Arial"/>
                <w:b/>
                <w:bCs/>
                <w:i/>
              </w:rPr>
            </w:pPr>
            <w:r>
              <w:rPr>
                <w:rFonts w:cs="Arial"/>
                <w:noProof/>
                <w:sz w:val="22"/>
                <w:lang w:val="en-US"/>
              </w:rPr>
              <w:t>MS_LYNC2013_WA_Update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77EC67D9" w:rsidR="00902D12" w:rsidRDefault="00070C4D" w:rsidP="00B629AB">
            <w:pPr>
              <w:rPr>
                <w:rFonts w:cs="Arial"/>
              </w:rPr>
            </w:pPr>
            <w:r>
              <w:rPr>
                <w:rFonts w:cs="Arial"/>
              </w:rPr>
              <w:t>Das Paket installiert das Update KB3115022 für die Office Web Apps Installation.</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2AD96C7D" w:rsidR="00902D12" w:rsidRDefault="00070C4D"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55733D64" w:rsidR="005B565D" w:rsidRPr="00B629AB" w:rsidRDefault="005B565D" w:rsidP="00902D12">
            <w:pPr>
              <w:rPr>
                <w:rFonts w:cs="Arial"/>
              </w:rPr>
            </w:pPr>
            <w:r w:rsidRPr="00B629AB">
              <w:rPr>
                <w:rFonts w:cs="Arial"/>
              </w:rPr>
              <w:t xml:space="preserve"> </w:t>
            </w:r>
            <w:r w:rsidR="00070C4D">
              <w:rPr>
                <w:rFonts w:cs="Arial"/>
              </w:rPr>
              <w:t>Microsoft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2BF5B13F" w:rsidR="00FF1F0B" w:rsidRPr="00B629AB" w:rsidRDefault="00FF1F0B" w:rsidP="00FF1F0B">
            <w:pPr>
              <w:rPr>
                <w:rFonts w:cs="Arial"/>
              </w:rPr>
            </w:pPr>
            <w:r w:rsidRPr="00B629AB">
              <w:rPr>
                <w:rFonts w:cs="Arial"/>
              </w:rPr>
              <w:t xml:space="preserve"> </w:t>
            </w:r>
            <w:r w:rsidR="00070C4D" w:rsidRPr="00070C4D">
              <w:rPr>
                <w:rFonts w:cs="Arial"/>
              </w:rPr>
              <w:t>wacserver2013-kb3115022-fullfile-x64-glb.exe</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40B4D49E" w:rsidR="00FF1F0B" w:rsidRDefault="00FF1F0B" w:rsidP="00FF1F0B">
            <w:pPr>
              <w:keepNext/>
              <w:ind w:left="926" w:hanging="926"/>
              <w:rPr>
                <w:rFonts w:cs="Arial"/>
              </w:rPr>
            </w:pPr>
            <w:r>
              <w:rPr>
                <w:rFonts w:cs="Arial"/>
                <w:b/>
              </w:rPr>
              <w:t>Ordner:</w:t>
            </w:r>
            <w:r>
              <w:rPr>
                <w:rFonts w:cs="Arial"/>
                <w:b/>
              </w:rPr>
              <w:tab/>
              <w:t>SWSource\Packages\</w:t>
            </w:r>
            <w:r w:rsidR="00070C4D">
              <w:rPr>
                <w:rFonts w:cs="Arial"/>
                <w:b/>
              </w:rPr>
              <w:t>MS_LYNC2013_WA_Update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981A8B"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5C70A583"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070C4D">
              <w:rPr>
                <w:rFonts w:cs="Arial"/>
                <w:noProof/>
                <w:sz w:val="22"/>
                <w:lang w:val="en-US"/>
              </w:rPr>
              <w:t>MS_LYNC2013_WA_Update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264E1182"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070C4D">
              <w:rPr>
                <w:rFonts w:cs="Arial"/>
                <w:noProof/>
                <w:sz w:val="22"/>
                <w:lang w:val="en-US"/>
              </w:rPr>
              <w:t>MS_LYNC2013_WA_Update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981A8B"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981A8B"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46E8DBE8"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070C4D">
                  <w:rPr>
                    <w:rFonts w:cs="Arial"/>
                  </w:rPr>
                  <w:t>Ja</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981A8B"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981A8B"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90127" w14:textId="77777777" w:rsidR="00981A8B" w:rsidRDefault="00981A8B">
      <w:r>
        <w:separator/>
      </w:r>
    </w:p>
  </w:endnote>
  <w:endnote w:type="continuationSeparator" w:id="0">
    <w:p w14:paraId="12305345" w14:textId="77777777" w:rsidR="00981A8B" w:rsidRDefault="0098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6B027C79" w:rsidR="00AD2656" w:rsidRPr="006B344E" w:rsidRDefault="007463DB">
          <w:pPr>
            <w:pStyle w:val="Fuzeile"/>
            <w:tabs>
              <w:tab w:val="clear" w:pos="4536"/>
            </w:tabs>
          </w:pPr>
          <w:fldSimple w:instr=" FILENAME  \* MERGEFORMAT ">
            <w:r w:rsidR="00070C4D">
              <w:rPr>
                <w:noProof/>
              </w:rPr>
              <w:t>ImplD_MS_LYNC2013_WA_Update_Vxxx.docx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070C4D">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070C4D">
            <w:rPr>
              <w:noProof/>
            </w:rPr>
            <w:t>5</w:t>
          </w:r>
          <w:r w:rsidR="005F3441">
            <w:fldChar w:fldCharType="end"/>
          </w:r>
        </w:p>
      </w:tc>
      <w:tc>
        <w:tcPr>
          <w:tcW w:w="2194" w:type="dxa"/>
          <w:vAlign w:val="center"/>
        </w:tcPr>
        <w:p w14:paraId="6E9D9C88" w14:textId="744A2154"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070C4D">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2A08D" w14:textId="77777777" w:rsidR="00981A8B" w:rsidRDefault="00981A8B">
      <w:r>
        <w:separator/>
      </w:r>
    </w:p>
  </w:footnote>
  <w:footnote w:type="continuationSeparator" w:id="0">
    <w:p w14:paraId="0994D0C3" w14:textId="77777777" w:rsidR="00981A8B" w:rsidRDefault="00981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61E805AF" w:rsidR="00AD2656" w:rsidRDefault="00070C4D" w:rsidP="00894979">
          <w:pPr>
            <w:pStyle w:val="Kopfzeile"/>
          </w:pPr>
          <w:r w:rsidRPr="00070C4D">
            <w:rPr>
              <w:rFonts w:cs="Arial"/>
              <w:noProof/>
              <w:sz w:val="22"/>
              <w:lang w:val="en-US"/>
            </w:rPr>
            <w:t>MS_LYNC2013_WA_Update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C4D"/>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A8B"/>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C43CD"/>
    <w:rsid w:val="00BC39DF"/>
    <w:rsid w:val="00DE06A2"/>
    <w:rsid w:val="00E02352"/>
    <w:rsid w:val="00E141DF"/>
    <w:rsid w:val="00E330BB"/>
    <w:rsid w:val="00F012D1"/>
    <w:rsid w:val="00F5115E"/>
    <w:rsid w:val="00F63F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2.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3.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4.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6.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7.xml><?xml version="1.0" encoding="utf-8"?>
<ds:datastoreItem xmlns:ds="http://schemas.openxmlformats.org/officeDocument/2006/customXml" ds:itemID="{E57F028F-8958-46AF-9271-E113D986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602</Words>
  <Characters>3798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