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Documento de Guía 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Angel F. Revolledo Torres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Universidad Nacional de San Marcos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Gestión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Lenis R. Wong Portillo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Octubre,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0"/>
          <w:i w:val="1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El objetivo del documento de Guía de Estilos es normalizar la estructura de los contenidos y el diseño de la aplicación AGSCPI, homogeneizando estilos y estructuras para facilitar el desarrollo de la interfaz gráfica y las actualizaciones posteriores. La coherencia resulta imprescindible en la aplicación, en este documento se suministran estándares de maquetación para facilitar la labor del desarrollador a la hora de generar nuevos contenidos o los existentes.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6gcq9b5642g" w:id="8"/>
      <w:bookmarkEnd w:id="8"/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usabilidad de una aplicación puede definirse como la capacidad para ser usado por un público objetivo con la finalidad de cumplir sus objetivos con el mayor grado de efectividad, eficiencia y satisfacción posible en un contexto de uso especificado.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Parte de dos premisas: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debe acomodarse al usuario, y no a la inversa.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del sistema debe de estar enfocado: en primer lugar al público objetivo y en segundo lugar, a los contenidos que posee.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Debemos hacer hincapié en el diseño y desarrollo de la navegabilidad. Ésta debe ser: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más intuitiva posible.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Coherente y homogénea a lo largo de toda la aplicación.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j0je3uh8krx7" w:id="9"/>
      <w:bookmarkEnd w:id="9"/>
      <w:r w:rsidDel="00000000" w:rsidR="00000000" w:rsidRPr="00000000">
        <w:rPr>
          <w:rtl w:val="0"/>
        </w:rPr>
        <w:t xml:space="preserve">Accesibilidad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accesibilidad indica la facilidad con la que algo puede ser usado, visitado o accedido en general por todas las personas, especialmente por aquellas que poseen algún tipo de discapacidad.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Color y uso tipográfico del color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  <w:sectPr>
          <w:headerReference r:id="rId6" w:type="default"/>
          <w:headerReference r:id="rId7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Los colores principales de la aplicación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#A9A9A9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R:169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G:169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B:169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e6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6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#E63946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6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R:230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6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G:57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e6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B:70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f1f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1f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#F1FAEE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1f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R:241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1f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G:250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f1f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B:238</w:t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8da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8da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#A8DADC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8da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R:168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8da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G:218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8da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B:220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457b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Celeste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457b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#457B9D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457b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R:69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457b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G:123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457b9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B:157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tblGridChange w:id="0">
          <w:tblGrid>
            <w:gridCol w:w="132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1d35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Azul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1d35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#1D3557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1d35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R:29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1d35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G:53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1d35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B:87</w:t>
            </w:r>
          </w:p>
        </w:tc>
      </w:tr>
    </w:tbl>
    <w:p w:rsidR="00000000" w:rsidDel="00000000" w:rsidP="00000000" w:rsidRDefault="00000000" w:rsidRPr="00000000" w14:paraId="00000065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http://www.upv.es/entidades/ASIC/manuales/guia_estilos_upv.pdf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Otros Colores de la aplicación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365"/>
        <w:gridCol w:w="510"/>
        <w:gridCol w:w="1260"/>
        <w:gridCol w:w="1425"/>
        <w:gridCol w:w="1065"/>
        <w:gridCol w:w="1245"/>
        <w:gridCol w:w="1410"/>
        <w:tblGridChange w:id="0">
          <w:tblGrid>
            <w:gridCol w:w="1260"/>
            <w:gridCol w:w="1365"/>
            <w:gridCol w:w="510"/>
            <w:gridCol w:w="1260"/>
            <w:gridCol w:w="1425"/>
            <w:gridCol w:w="1065"/>
            <w:gridCol w:w="1245"/>
            <w:gridCol w:w="1410"/>
          </w:tblGrid>
        </w:tblGridChange>
      </w:tblGrid>
      <w:tr>
        <w:trPr>
          <w:cantSplit w:val="0"/>
          <w:trHeight w:val="473.97656249999727" w:hRule="atLeast"/>
          <w:tblHeader w:val="0"/>
        </w:trPr>
        <w:tc>
          <w:tcPr>
            <w:vMerge w:val="restart"/>
            <w:shd w:fill="c171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7089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b w:val="1"/>
                  <w:rtl w:val="0"/>
                </w:rPr>
                <w:t xml:space="preserve">Blue Gray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0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b w:val="1"/>
                  <w:rtl w:val="0"/>
                </w:rPr>
                <w:t xml:space="preserve">Navy Blue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171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#C1715C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89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#708996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0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#203946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171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R:193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89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R:112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0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R:32</w:t>
            </w:r>
          </w:p>
        </w:tc>
      </w:tr>
      <w:tr>
        <w:trPr>
          <w:cantSplit w:val="0"/>
          <w:trHeight w:val="473.9765625000109" w:hRule="atLeast"/>
          <w:tblHeader w:val="0"/>
        </w:trPr>
        <w:tc>
          <w:tcPr>
            <w:vMerge w:val="continue"/>
            <w:shd w:fill="c171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G:113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89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G:137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0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G:57</w:t>
            </w:r>
          </w:p>
        </w:tc>
      </w:tr>
      <w:tr>
        <w:trPr>
          <w:cantSplit w:val="0"/>
          <w:trHeight w:val="497.97656250000273" w:hRule="atLeast"/>
          <w:tblHeader w:val="0"/>
        </w:trPr>
        <w:tc>
          <w:tcPr>
            <w:vMerge w:val="continue"/>
            <w:shd w:fill="c171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B:92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7089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B:150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039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B:70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Tipografía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Kanit </w:t>
      </w:r>
      <w:r w:rsidDel="00000000" w:rsidR="00000000" w:rsidRPr="00000000">
        <w:rPr>
          <w:rtl w:val="0"/>
        </w:rPr>
        <w:t xml:space="preserve">tiene que ser usado para todos los textos header y sub header. 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KANIT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114300</wp:posOffset>
            </wp:positionV>
            <wp:extent cx="1047750" cy="104775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290888" cy="91237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912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</wp:posOffset>
            </wp:positionH>
            <wp:positionV relativeFrom="paragraph">
              <wp:posOffset>115639</wp:posOffset>
            </wp:positionV>
            <wp:extent cx="1209675" cy="695325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114300</wp:posOffset>
            </wp:positionV>
            <wp:extent cx="3407381" cy="96800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381" cy="968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1300163</wp:posOffset>
            </wp:positionH>
            <wp:positionV relativeFrom="paragraph">
              <wp:posOffset>312390</wp:posOffset>
            </wp:positionV>
            <wp:extent cx="3343275" cy="98583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85850" cy="828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Iconos e ilustraciones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302746</wp:posOffset>
            </wp:positionV>
            <wp:extent cx="742950" cy="7620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24766</wp:posOffset>
            </wp:positionH>
            <wp:positionV relativeFrom="paragraph">
              <wp:posOffset>422880</wp:posOffset>
            </wp:positionV>
            <wp:extent cx="723900" cy="73342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Icono-Región                                                           Icono-Actualizar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3044190</wp:posOffset>
            </wp:positionH>
            <wp:positionV relativeFrom="paragraph">
              <wp:posOffset>245805</wp:posOffset>
            </wp:positionV>
            <wp:extent cx="714375" cy="7620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316230</wp:posOffset>
            </wp:positionV>
            <wp:extent cx="723900" cy="828675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Icono-Lenguaje                                                       Icono-ChatBot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381000</wp:posOffset>
            </wp:positionV>
            <wp:extent cx="685800" cy="704850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Icono-Salir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before="0" w:lineRule="auto"/>
      <w:rPr/>
    </w:pPr>
    <w:r w:rsidDel="00000000" w:rsidR="00000000" w:rsidRPr="00000000">
      <w:rPr>
        <w:rtl w:val="0"/>
      </w:rPr>
      <w:t xml:space="preserve">Documento de Guía de Estilos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hyperlink" Target="https://www.canva.com/colors/color-meanings/navy-blue/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colors/color-meanings/blue-grey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eader" Target="header2.xml"/><Relationship Id="rId18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