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68E528D1" w:rsidR="00271127" w:rsidRDefault="005A3BBE" w:rsidP="00271127">
      <w:r w:rsidRPr="005A3BBE">
        <w:t xml:space="preserve">7:54 AM </w:t>
      </w:r>
      <w:r w:rsidR="003F22F8">
        <w:t xml:space="preserve">PDT </w:t>
      </w:r>
      <w:r w:rsidRPr="005A3BBE">
        <w:t>2023-03-15</w:t>
      </w:r>
    </w:p>
    <w:p w14:paraId="0CE3C944" w14:textId="77777777" w:rsidR="00271127" w:rsidRDefault="00271127" w:rsidP="00271127"/>
    <w:p w14:paraId="19ACF745" w14:textId="55F0594D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 xml:space="preserve">0800 </w:t>
      </w:r>
    </w:p>
    <w:p w14:paraId="1B96C312" w14:textId="133AE859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169E9AE9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D27DBC">
        <w:t>23</w:t>
      </w:r>
    </w:p>
    <w:p w14:paraId="6F04D73C" w14:textId="187F3E69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5A3BBE">
        <w:t>70</w:t>
      </w:r>
    </w:p>
    <w:p w14:paraId="50CB3647" w14:textId="2C14FDC9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5A3BBE">
        <w:t>Wednesday March 22</w:t>
      </w:r>
      <w:r w:rsidR="005A3BBE" w:rsidRPr="005A3BBE">
        <w:rPr>
          <w:vertAlign w:val="superscript"/>
        </w:rPr>
        <w:t>nd</w:t>
      </w:r>
      <w:r w:rsidR="005A3BBE">
        <w:t>, 2023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5EC0C312" w14:textId="546FEAA5" w:rsidR="00271127" w:rsidRDefault="00D47620" w:rsidP="00D47620">
      <w:pPr>
        <w:pStyle w:val="ListParagraph"/>
        <w:numPr>
          <w:ilvl w:val="0"/>
          <w:numId w:val="1"/>
        </w:numPr>
      </w:pPr>
      <w:r>
        <w:t xml:space="preserve">Matt </w:t>
      </w:r>
      <w:r w:rsidR="00945F67">
        <w:t xml:space="preserve">Downey </w:t>
      </w:r>
      <w:r>
        <w:t xml:space="preserve">provided update on CCDB </w:t>
      </w:r>
      <w:r w:rsidR="00945F67">
        <w:t>meetings</w:t>
      </w:r>
      <w:r>
        <w:t xml:space="preserve"> in Malaysia</w:t>
      </w:r>
    </w:p>
    <w:p w14:paraId="7D386CF3" w14:textId="563FBB32" w:rsidR="00D47620" w:rsidRDefault="00D47620" w:rsidP="00D47620">
      <w:pPr>
        <w:pStyle w:val="ListParagraph"/>
        <w:numPr>
          <w:ilvl w:val="1"/>
          <w:numId w:val="1"/>
        </w:numPr>
      </w:pPr>
      <w:r>
        <w:t>Lots of progress made on</w:t>
      </w:r>
      <w:r w:rsidR="00945F67">
        <w:t xml:space="preserve"> various</w:t>
      </w:r>
      <w:r>
        <w:t xml:space="preserve"> topics</w:t>
      </w:r>
    </w:p>
    <w:p w14:paraId="57F40202" w14:textId="4487D5C5" w:rsidR="00D47620" w:rsidRDefault="00D47620" w:rsidP="00D47620">
      <w:pPr>
        <w:pStyle w:val="ListParagraph"/>
        <w:numPr>
          <w:ilvl w:val="1"/>
          <w:numId w:val="1"/>
        </w:numPr>
      </w:pPr>
      <w:r>
        <w:t>C</w:t>
      </w:r>
      <w:r w:rsidR="00945F67">
        <w:t>C</w:t>
      </w:r>
      <w:r>
        <w:t xml:space="preserve"> transition guidance to be published soon</w:t>
      </w:r>
    </w:p>
    <w:p w14:paraId="202CE40D" w14:textId="03AA7645" w:rsidR="00D47620" w:rsidRDefault="00D47620" w:rsidP="00D47620">
      <w:pPr>
        <w:pStyle w:val="ListParagraph"/>
        <w:numPr>
          <w:ilvl w:val="1"/>
          <w:numId w:val="1"/>
        </w:numPr>
      </w:pPr>
      <w:r>
        <w:t xml:space="preserve">Consensus reached on proposal for what the CC in the cloud can get in terms of </w:t>
      </w:r>
      <w:r w:rsidR="00945F67">
        <w:t>recognition in the ITC process</w:t>
      </w:r>
      <w:r>
        <w:t xml:space="preserve">. </w:t>
      </w:r>
      <w:r w:rsidR="00945F67">
        <w:t>This will</w:t>
      </w:r>
      <w:r>
        <w:t xml:space="preserve"> be going to </w:t>
      </w:r>
      <w:r w:rsidR="00945F67">
        <w:t xml:space="preserve">a formal </w:t>
      </w:r>
      <w:r>
        <w:t>vote</w:t>
      </w:r>
      <w:r w:rsidR="00945F67">
        <w:t xml:space="preserve"> soon, with further </w:t>
      </w:r>
      <w:r>
        <w:t xml:space="preserve">details </w:t>
      </w:r>
      <w:r w:rsidR="00945F67">
        <w:t>following.</w:t>
      </w:r>
      <w:r>
        <w:t xml:space="preserve"> </w:t>
      </w:r>
    </w:p>
    <w:p w14:paraId="1963BA8B" w14:textId="52FB3446" w:rsidR="006333CE" w:rsidRDefault="00D47620" w:rsidP="006333CE">
      <w:pPr>
        <w:pStyle w:val="ListParagraph"/>
        <w:numPr>
          <w:ilvl w:val="2"/>
          <w:numId w:val="1"/>
        </w:numPr>
      </w:pPr>
      <w:r>
        <w:t xml:space="preserve">Assuming it is agreed to, </w:t>
      </w:r>
      <w:proofErr w:type="spellStart"/>
      <w:r w:rsidR="00945F67">
        <w:t>CCitC</w:t>
      </w:r>
      <w:proofErr w:type="spellEnd"/>
      <w:r w:rsidR="00945F67">
        <w:t xml:space="preserve"> will</w:t>
      </w:r>
      <w:r>
        <w:t xml:space="preserve"> have </w:t>
      </w:r>
      <w:r w:rsidR="00945F67">
        <w:t xml:space="preserve">a </w:t>
      </w:r>
      <w:r>
        <w:t xml:space="preserve">space on </w:t>
      </w:r>
      <w:r w:rsidR="00945F67">
        <w:t xml:space="preserve">the </w:t>
      </w:r>
      <w:r>
        <w:t xml:space="preserve">CCRA website for </w:t>
      </w:r>
      <w:proofErr w:type="spellStart"/>
      <w:r>
        <w:t>CC</w:t>
      </w:r>
      <w:r w:rsidR="00945F67">
        <w:t>it</w:t>
      </w:r>
      <w:r>
        <w:t>C</w:t>
      </w:r>
      <w:proofErr w:type="spellEnd"/>
      <w:r>
        <w:t xml:space="preserve"> </w:t>
      </w:r>
      <w:r w:rsidR="00945F67">
        <w:t>materials</w:t>
      </w:r>
      <w:r>
        <w:t>.</w:t>
      </w:r>
    </w:p>
    <w:p w14:paraId="0C2859E1" w14:textId="65AD490D" w:rsidR="006333CE" w:rsidRDefault="006333CE" w:rsidP="006333CE">
      <w:pPr>
        <w:pStyle w:val="ListParagraph"/>
        <w:numPr>
          <w:ilvl w:val="2"/>
          <w:numId w:val="1"/>
        </w:numPr>
      </w:pPr>
      <w:r>
        <w:t xml:space="preserve">Most discussion was based around </w:t>
      </w:r>
      <w:r w:rsidR="00945F67">
        <w:t xml:space="preserve">the </w:t>
      </w:r>
      <w:r>
        <w:t xml:space="preserve">current language/semantics of what the current definition of an </w:t>
      </w:r>
      <w:proofErr w:type="spellStart"/>
      <w:r>
        <w:t>iTC</w:t>
      </w:r>
      <w:proofErr w:type="spellEnd"/>
      <w:r>
        <w:t xml:space="preserve"> was and what they do, vs the </w:t>
      </w:r>
      <w:r w:rsidR="00945F67">
        <w:t xml:space="preserve">specific </w:t>
      </w:r>
      <w:r>
        <w:t xml:space="preserve">work </w:t>
      </w:r>
      <w:proofErr w:type="spellStart"/>
      <w:r>
        <w:t>CCitC</w:t>
      </w:r>
      <w:proofErr w:type="spellEnd"/>
      <w:r>
        <w:t xml:space="preserve"> is doing. </w:t>
      </w:r>
      <w:r w:rsidR="00945F67">
        <w:t>These d</w:t>
      </w:r>
      <w:r>
        <w:t>iscussion</w:t>
      </w:r>
      <w:r w:rsidR="00945F67">
        <w:t>s pertained mostly to</w:t>
      </w:r>
      <w:r>
        <w:t xml:space="preserve"> how </w:t>
      </w:r>
      <w:proofErr w:type="spellStart"/>
      <w:r>
        <w:t>CCitC</w:t>
      </w:r>
      <w:proofErr w:type="spellEnd"/>
      <w:r w:rsidR="00945F67">
        <w:t xml:space="preserve"> could be </w:t>
      </w:r>
      <w:r w:rsidR="006538AC">
        <w:t>accommodated</w:t>
      </w:r>
      <w:r>
        <w:t>.</w:t>
      </w:r>
    </w:p>
    <w:p w14:paraId="24087A29" w14:textId="77777777" w:rsidR="00271127" w:rsidRDefault="00271127" w:rsidP="00271127"/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778D3235" w14:textId="3E0F38CC" w:rsidR="00271127" w:rsidRDefault="00945F67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700709BF" w:rsidR="00271127" w:rsidRDefault="00966434" w:rsidP="00966434">
      <w:pPr>
        <w:pStyle w:val="ListParagraph"/>
        <w:numPr>
          <w:ilvl w:val="0"/>
          <w:numId w:val="1"/>
        </w:numPr>
      </w:pPr>
      <w:r>
        <w:t xml:space="preserve">Revisited </w:t>
      </w:r>
      <w:r>
        <w:t>the proposed definition for Trusted Platform</w:t>
      </w:r>
      <w:r>
        <w:t>.</w:t>
      </w:r>
    </w:p>
    <w:p w14:paraId="590DCF29" w14:textId="6259544C" w:rsidR="00966434" w:rsidRDefault="00966434" w:rsidP="00966434">
      <w:pPr>
        <w:pStyle w:val="ListParagraph"/>
        <w:numPr>
          <w:ilvl w:val="1"/>
          <w:numId w:val="1"/>
        </w:numPr>
      </w:pPr>
      <w:r>
        <w:t>Josh displayed the GitHub Issue #87 regarding this definition and we stepped through the definition including additional comments provided by the rest of the members during the two week review period</w:t>
      </w:r>
    </w:p>
    <w:p w14:paraId="1803D84E" w14:textId="296BD232" w:rsidR="00966434" w:rsidRDefault="00E8481C" w:rsidP="00966434">
      <w:pPr>
        <w:pStyle w:val="ListParagraph"/>
        <w:numPr>
          <w:ilvl w:val="1"/>
          <w:numId w:val="1"/>
        </w:numPr>
      </w:pPr>
      <w:r>
        <w:t>Discussion around Tom G’s suggestion to add a bullet saying “</w:t>
      </w:r>
      <w:r w:rsidRPr="006A747E">
        <w:rPr>
          <w:i/>
          <w:iCs/>
        </w:rPr>
        <w:t>The Trusted Platform should be distinct from the TOE</w:t>
      </w:r>
      <w:r>
        <w:t>” given the possibility that issues may occur with parts of a trusted platform being evaluated as part of the TOE. Particularly with SaaS.</w:t>
      </w:r>
    </w:p>
    <w:p w14:paraId="286B97BD" w14:textId="43C60F3B" w:rsidR="00E8481C" w:rsidRDefault="00EC2A60" w:rsidP="00966434">
      <w:pPr>
        <w:pStyle w:val="ListParagraph"/>
        <w:numPr>
          <w:ilvl w:val="1"/>
          <w:numId w:val="1"/>
        </w:numPr>
      </w:pPr>
      <w:r>
        <w:t>James D raised an issue on the point “</w:t>
      </w:r>
      <w:r w:rsidRPr="006A747E">
        <w:rPr>
          <w:i/>
          <w:iCs/>
        </w:rPr>
        <w:t xml:space="preserve">the certificate authorizing scheme determines sufficiency”. </w:t>
      </w:r>
      <w:r>
        <w:t>Potentially each scheme would have a different point of view here and not adhere to</w:t>
      </w:r>
      <w:r w:rsidR="006A747E">
        <w:t xml:space="preserve"> a</w:t>
      </w:r>
      <w:r>
        <w:t xml:space="preserve"> mutual recognition/agreement. Use of Kernel modules was provided as an example since it may affect the platform</w:t>
      </w:r>
      <w:r w:rsidR="006A747E">
        <w:t>.</w:t>
      </w:r>
    </w:p>
    <w:p w14:paraId="15DA06FC" w14:textId="51EDC74A" w:rsidR="00EC2A60" w:rsidRDefault="00EC2A60" w:rsidP="00EC2A60">
      <w:pPr>
        <w:pStyle w:val="ListParagraph"/>
        <w:numPr>
          <w:ilvl w:val="2"/>
          <w:numId w:val="1"/>
        </w:numPr>
      </w:pPr>
      <w:r>
        <w:t>Discussion was had around this Kernel module example, since it</w:t>
      </w:r>
      <w:r w:rsidR="006A747E">
        <w:t>’</w:t>
      </w:r>
      <w:r>
        <w:t>s possible for the module to have ring 0 privileges and therefore be problematic.</w:t>
      </w:r>
    </w:p>
    <w:p w14:paraId="1D54039D" w14:textId="1945B57C" w:rsidR="00D27DBC" w:rsidRPr="00D27DBC" w:rsidRDefault="00D27DBC" w:rsidP="00D27DBC">
      <w:pPr>
        <w:pStyle w:val="ListParagraph"/>
        <w:numPr>
          <w:ilvl w:val="1"/>
          <w:numId w:val="1"/>
        </w:numPr>
      </w:pPr>
      <w:r>
        <w:t>Definition finalized by the group as follows:</w:t>
      </w:r>
      <w:r>
        <w:br/>
      </w:r>
      <w:r w:rsidRPr="00D27DBC">
        <w:rPr>
          <w:i/>
          <w:iCs/>
        </w:rPr>
        <w:t>“</w:t>
      </w:r>
      <w:r w:rsidRPr="00D27DBC">
        <w:rPr>
          <w:i/>
          <w:iCs/>
        </w:rPr>
        <w:t xml:space="preserve">Trusted Platform definition FINAL: Trusted platform is the underlying hosting </w:t>
      </w:r>
      <w:r w:rsidRPr="00D27DBC">
        <w:rPr>
          <w:i/>
          <w:iCs/>
        </w:rPr>
        <w:lastRenderedPageBreak/>
        <w:t>environment for the TOE that is sufficient to meet the assumptions and environmental security objectives of the PPs and modules the TOE claims.</w:t>
      </w:r>
      <w:r w:rsidRPr="00D27DBC">
        <w:rPr>
          <w:i/>
          <w:iCs/>
        </w:rPr>
        <w:br/>
      </w:r>
      <w:r>
        <w:rPr>
          <w:i/>
          <w:iCs/>
        </w:rPr>
        <w:t xml:space="preserve">- </w:t>
      </w:r>
      <w:r w:rsidRPr="00D27DBC">
        <w:rPr>
          <w:i/>
          <w:iCs/>
        </w:rPr>
        <w:t xml:space="preserve">The certificate authorizing scheme determines sufficiency </w:t>
      </w:r>
      <w:r w:rsidRPr="00D27DBC">
        <w:rPr>
          <w:rStyle w:val="Emphasis"/>
          <w:b/>
          <w:bCs/>
          <w:i w:val="0"/>
          <w:iCs w:val="0"/>
        </w:rPr>
        <w:t>and may publish a policy</w:t>
      </w:r>
      <w:r w:rsidRPr="00D27DBC">
        <w:rPr>
          <w:i/>
          <w:iCs/>
        </w:rPr>
        <w:t>.</w:t>
      </w:r>
      <w:r w:rsidRPr="00D27DBC">
        <w:rPr>
          <w:i/>
          <w:iCs/>
        </w:rPr>
        <w:br/>
      </w:r>
      <w:r>
        <w:rPr>
          <w:i/>
          <w:iCs/>
        </w:rPr>
        <w:t xml:space="preserve">- </w:t>
      </w:r>
      <w:r w:rsidRPr="00D27DBC">
        <w:rPr>
          <w:i/>
          <w:iCs/>
        </w:rPr>
        <w:t xml:space="preserve">Components of a platform may include, e.g., an operating system, virtualization hypervisor, </w:t>
      </w:r>
      <w:r w:rsidRPr="00D27DBC">
        <w:rPr>
          <w:rStyle w:val="Emphasis"/>
          <w:b/>
          <w:bCs/>
          <w:i w:val="0"/>
          <w:iCs w:val="0"/>
        </w:rPr>
        <w:t>network components or switches</w:t>
      </w:r>
      <w:r w:rsidRPr="00D27DBC">
        <w:rPr>
          <w:i/>
          <w:iCs/>
        </w:rPr>
        <w:t>, and the hardware needed to run the software.</w:t>
      </w:r>
      <w:r w:rsidRPr="00D27DBC">
        <w:rPr>
          <w:i/>
          <w:iCs/>
        </w:rPr>
        <w:t>”</w:t>
      </w:r>
    </w:p>
    <w:p w14:paraId="22501D02" w14:textId="6283EA18" w:rsidR="00D27DBC" w:rsidRDefault="00D27DBC" w:rsidP="00D27DBC">
      <w:pPr>
        <w:pStyle w:val="ListParagraph"/>
        <w:numPr>
          <w:ilvl w:val="0"/>
          <w:numId w:val="1"/>
        </w:numPr>
      </w:pPr>
      <w:r>
        <w:t xml:space="preserve">Discussion on Issue #88, </w:t>
      </w:r>
      <w:r w:rsidR="006A747E">
        <w:t xml:space="preserve">including </w:t>
      </w:r>
      <w:r>
        <w:t xml:space="preserve">fahmed11’s comment on the definition of “Hosting Environment” and comparison to “Execution Environment” </w:t>
      </w:r>
    </w:p>
    <w:p w14:paraId="774571D8" w14:textId="4B1874C4" w:rsidR="00D27DBC" w:rsidRDefault="00D27DBC" w:rsidP="00D27DBC">
      <w:pPr>
        <w:pStyle w:val="ListParagraph"/>
        <w:numPr>
          <w:ilvl w:val="1"/>
          <w:numId w:val="1"/>
        </w:numPr>
      </w:pPr>
      <w:r>
        <w:t xml:space="preserve">Group consensus on only one term being needed, with “Hosting Environment” being more relevant to Cloud. </w:t>
      </w:r>
    </w:p>
    <w:p w14:paraId="0444636A" w14:textId="3E847FBC" w:rsidR="00D27DBC" w:rsidRDefault="00D27DBC" w:rsidP="00D27DBC">
      <w:pPr>
        <w:pStyle w:val="ListParagraph"/>
        <w:numPr>
          <w:ilvl w:val="1"/>
          <w:numId w:val="1"/>
        </w:numPr>
      </w:pPr>
      <w:r>
        <w:t>“Execution Environment” to be removed from all documents and replaced with “Hosting Environment” which has a finalized definition as follows:</w:t>
      </w:r>
      <w:r>
        <w:br/>
      </w:r>
      <w:r w:rsidRPr="006A747E">
        <w:rPr>
          <w:i/>
          <w:iCs/>
        </w:rPr>
        <w:t>“</w:t>
      </w:r>
      <w:r w:rsidR="006A747E" w:rsidRPr="006A747E">
        <w:rPr>
          <w:i/>
          <w:iCs/>
        </w:rPr>
        <w:t>Hosting Environment consists of everything that is outside the TOE boundary and is equivalent to the CC term "Operational Environment."</w:t>
      </w:r>
    </w:p>
    <w:p w14:paraId="210BA2BB" w14:textId="152334BB" w:rsidR="00D27DBC" w:rsidRDefault="00D27DBC" w:rsidP="00D27DBC">
      <w:pPr>
        <w:pStyle w:val="ListParagraph"/>
        <w:numPr>
          <w:ilvl w:val="1"/>
          <w:numId w:val="1"/>
        </w:numPr>
      </w:pPr>
      <w:r>
        <w:t xml:space="preserve">James D raised an issue on what “management environment” means in the context of this definition. </w:t>
      </w:r>
    </w:p>
    <w:p w14:paraId="02AA9B64" w14:textId="7C252D67" w:rsidR="00D27DBC" w:rsidRDefault="00ED7B44" w:rsidP="00D27DBC">
      <w:pPr>
        <w:pStyle w:val="ListParagraph"/>
        <w:numPr>
          <w:ilvl w:val="2"/>
          <w:numId w:val="1"/>
        </w:numPr>
      </w:pPr>
      <w:r>
        <w:t xml:space="preserve">Discussion had </w:t>
      </w:r>
      <w:r w:rsidR="00C26A2E">
        <w:t xml:space="preserve">on how this is represented in a cloud environment and what interfaces and tools might be included, as well as policy. </w:t>
      </w:r>
    </w:p>
    <w:p w14:paraId="394BCE04" w14:textId="3D3447AD" w:rsidR="006A747E" w:rsidRDefault="006A747E" w:rsidP="00D27DBC">
      <w:pPr>
        <w:pStyle w:val="ListParagraph"/>
        <w:numPr>
          <w:ilvl w:val="2"/>
          <w:numId w:val="1"/>
        </w:numPr>
      </w:pPr>
      <w:r>
        <w:t>A note was made in the GitHub issue to revisit this definition in the future if greater detail and further explanation is needed.</w:t>
      </w:r>
    </w:p>
    <w:p w14:paraId="3149CBB0" w14:textId="77777777" w:rsidR="0079013E" w:rsidRDefault="0079013E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4B7E488" w14:textId="589F240A" w:rsidR="008013C3" w:rsidRDefault="006A747E" w:rsidP="00271127">
      <w:pPr>
        <w:rPr>
          <w:b/>
          <w:bCs/>
        </w:rPr>
      </w:pPr>
      <w:r>
        <w:rPr>
          <w:b/>
          <w:bCs/>
        </w:rPr>
        <w:t>~</w:t>
      </w: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7E24472C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>
        <w:rPr>
          <w:b/>
          <w:bCs/>
          <w:i/>
          <w:iCs/>
        </w:rPr>
        <w:t>859</w:t>
      </w:r>
      <w:r w:rsidRPr="00984FD5">
        <w:rPr>
          <w:b/>
          <w:bCs/>
          <w:i/>
          <w:iCs/>
        </w:rPr>
        <w:t xml:space="preserve"> P</w:t>
      </w:r>
      <w:r w:rsidR="003F22F8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7016"/>
    <w:multiLevelType w:val="hybridMultilevel"/>
    <w:tmpl w:val="6124FBFA"/>
    <w:lvl w:ilvl="0" w:tplc="7F345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7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246211"/>
    <w:rsid w:val="00271127"/>
    <w:rsid w:val="003F22F8"/>
    <w:rsid w:val="005A3BBE"/>
    <w:rsid w:val="006333CE"/>
    <w:rsid w:val="006538AC"/>
    <w:rsid w:val="006A747E"/>
    <w:rsid w:val="0079013E"/>
    <w:rsid w:val="008013C3"/>
    <w:rsid w:val="00945F67"/>
    <w:rsid w:val="00966434"/>
    <w:rsid w:val="00C26A2E"/>
    <w:rsid w:val="00D27DBC"/>
    <w:rsid w:val="00D315AF"/>
    <w:rsid w:val="00D47620"/>
    <w:rsid w:val="00E8481C"/>
    <w:rsid w:val="00EC2A60"/>
    <w:rsid w:val="00E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7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21</cp:revision>
  <dcterms:created xsi:type="dcterms:W3CDTF">2022-06-08T18:04:00Z</dcterms:created>
  <dcterms:modified xsi:type="dcterms:W3CDTF">2023-03-15T18:00:00Z</dcterms:modified>
</cp:coreProperties>
</file>