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401BE" w14:textId="74C7CD71" w:rsidR="00271127" w:rsidRDefault="007D635C" w:rsidP="00271127">
      <w:r w:rsidRPr="007D635C">
        <w:t xml:space="preserve">7:59 AM </w:t>
      </w:r>
      <w:r w:rsidR="00D84798">
        <w:t xml:space="preserve">PDT </w:t>
      </w:r>
      <w:r w:rsidRPr="007D635C">
        <w:t>2023-03-29</w:t>
      </w:r>
    </w:p>
    <w:p w14:paraId="0CE3C944" w14:textId="77777777" w:rsidR="00271127" w:rsidRDefault="00271127" w:rsidP="00271127"/>
    <w:p w14:paraId="19ACF745" w14:textId="3C9E4795" w:rsidR="00271127" w:rsidRDefault="00271127" w:rsidP="008013C3">
      <w:pPr>
        <w:spacing w:after="0" w:line="240" w:lineRule="auto"/>
      </w:pPr>
      <w:r w:rsidRPr="008013C3">
        <w:rPr>
          <w:b/>
          <w:bCs/>
        </w:rPr>
        <w:t>Call to Order:</w:t>
      </w:r>
      <w:r>
        <w:tab/>
      </w:r>
      <w:r w:rsidR="008013C3">
        <w:tab/>
      </w:r>
      <w:r>
        <w:t>080</w:t>
      </w:r>
      <w:r w:rsidR="00D87D34">
        <w:t>3</w:t>
      </w:r>
      <w:r>
        <w:t xml:space="preserve"> </w:t>
      </w:r>
    </w:p>
    <w:p w14:paraId="1B96C312" w14:textId="133AE859" w:rsidR="00271127" w:rsidRDefault="00271127" w:rsidP="008013C3">
      <w:pPr>
        <w:spacing w:after="0" w:line="240" w:lineRule="auto"/>
      </w:pPr>
      <w:r w:rsidRPr="008013C3">
        <w:rPr>
          <w:b/>
          <w:bCs/>
        </w:rPr>
        <w:t>Meeting Lead:</w:t>
      </w:r>
      <w:r>
        <w:tab/>
      </w:r>
      <w:r w:rsidR="008013C3">
        <w:tab/>
      </w:r>
      <w:r>
        <w:t>Joshua BRICKMAN</w:t>
      </w:r>
    </w:p>
    <w:p w14:paraId="31AE9F9F" w14:textId="1737CD6D" w:rsidR="00271127" w:rsidRDefault="00271127" w:rsidP="008013C3">
      <w:pPr>
        <w:spacing w:after="0" w:line="240" w:lineRule="auto"/>
      </w:pPr>
      <w:r w:rsidRPr="008013C3">
        <w:rPr>
          <w:b/>
          <w:bCs/>
        </w:rPr>
        <w:t>Attendees:</w:t>
      </w:r>
      <w:r>
        <w:tab/>
      </w:r>
      <w:r w:rsidR="008013C3">
        <w:tab/>
      </w:r>
      <w:r w:rsidR="00C95764">
        <w:t>1</w:t>
      </w:r>
      <w:r w:rsidR="009076BD">
        <w:t>9</w:t>
      </w:r>
    </w:p>
    <w:p w14:paraId="6F04D73C" w14:textId="2016A4E4" w:rsidR="008013C3" w:rsidRDefault="008013C3" w:rsidP="008013C3">
      <w:pPr>
        <w:spacing w:after="0" w:line="240" w:lineRule="auto"/>
      </w:pPr>
      <w:r w:rsidRPr="008013C3">
        <w:rPr>
          <w:b/>
          <w:bCs/>
        </w:rPr>
        <w:t>Member Count:</w:t>
      </w:r>
      <w:r>
        <w:tab/>
      </w:r>
      <w:r w:rsidR="007D635C">
        <w:t>70</w:t>
      </w:r>
    </w:p>
    <w:p w14:paraId="50CB3647" w14:textId="3DE7DE5F" w:rsidR="008013C3" w:rsidRDefault="008013C3" w:rsidP="008013C3">
      <w:pPr>
        <w:spacing w:after="0" w:line="240" w:lineRule="auto"/>
      </w:pPr>
      <w:r w:rsidRPr="008013C3">
        <w:rPr>
          <w:b/>
          <w:bCs/>
        </w:rPr>
        <w:t>Next Meeting:</w:t>
      </w:r>
      <w:r>
        <w:t xml:space="preserve"> </w:t>
      </w:r>
      <w:r>
        <w:tab/>
      </w:r>
      <w:r>
        <w:tab/>
      </w:r>
      <w:r w:rsidR="007D635C">
        <w:t>Wednesday April 5</w:t>
      </w:r>
      <w:r w:rsidR="007D635C" w:rsidRPr="007D635C">
        <w:rPr>
          <w:vertAlign w:val="superscript"/>
        </w:rPr>
        <w:t>th</w:t>
      </w:r>
      <w:r w:rsidR="007D635C">
        <w:t>, 2023</w:t>
      </w:r>
    </w:p>
    <w:p w14:paraId="132E58A1" w14:textId="77777777" w:rsidR="00271127" w:rsidRDefault="00271127" w:rsidP="00271127"/>
    <w:p w14:paraId="740AD600" w14:textId="77777777" w:rsidR="00271127" w:rsidRPr="008013C3" w:rsidRDefault="00271127" w:rsidP="00271127">
      <w:pPr>
        <w:rPr>
          <w:b/>
          <w:bCs/>
        </w:rPr>
      </w:pPr>
      <w:r w:rsidRPr="008013C3">
        <w:rPr>
          <w:b/>
          <w:bCs/>
        </w:rPr>
        <w:t>Highlights:</w:t>
      </w:r>
    </w:p>
    <w:p w14:paraId="24087A29" w14:textId="740A0707" w:rsidR="00271127" w:rsidRDefault="00D43F56" w:rsidP="00271127">
      <w:r>
        <w:t>~</w:t>
      </w:r>
    </w:p>
    <w:p w14:paraId="74432A98" w14:textId="77777777" w:rsidR="00271127" w:rsidRPr="008013C3" w:rsidRDefault="00271127" w:rsidP="00271127">
      <w:pPr>
        <w:rPr>
          <w:b/>
          <w:bCs/>
        </w:rPr>
      </w:pPr>
      <w:r w:rsidRPr="008013C3">
        <w:rPr>
          <w:b/>
          <w:bCs/>
        </w:rPr>
        <w:t>Old Business:</w:t>
      </w:r>
    </w:p>
    <w:p w14:paraId="778D3235" w14:textId="3FBC92F3" w:rsidR="00271127" w:rsidRDefault="00D43F56" w:rsidP="00271127">
      <w:r>
        <w:t>~</w:t>
      </w:r>
    </w:p>
    <w:p w14:paraId="7ECC17EE" w14:textId="77777777" w:rsidR="00271127" w:rsidRPr="008013C3" w:rsidRDefault="00271127" w:rsidP="00271127">
      <w:pPr>
        <w:rPr>
          <w:b/>
          <w:bCs/>
        </w:rPr>
      </w:pPr>
      <w:r w:rsidRPr="008013C3">
        <w:rPr>
          <w:b/>
          <w:bCs/>
        </w:rPr>
        <w:t>New Business:</w:t>
      </w:r>
    </w:p>
    <w:p w14:paraId="76BF0F40" w14:textId="1E7CB35A" w:rsidR="00271127" w:rsidRDefault="00C95764" w:rsidP="00C95764">
      <w:pPr>
        <w:pStyle w:val="ListParagraph"/>
        <w:numPr>
          <w:ilvl w:val="0"/>
          <w:numId w:val="1"/>
        </w:numPr>
      </w:pPr>
      <w:r>
        <w:t>Reviewed Issue #35 Bare Metal vs multi-tenant issue from previous meeting.</w:t>
      </w:r>
    </w:p>
    <w:p w14:paraId="30F940D7" w14:textId="2EC4BD8F" w:rsidR="00C95764" w:rsidRDefault="0007304D" w:rsidP="00C95764">
      <w:pPr>
        <w:pStyle w:val="ListParagraph"/>
        <w:numPr>
          <w:ilvl w:val="1"/>
          <w:numId w:val="1"/>
        </w:numPr>
      </w:pPr>
      <w:r>
        <w:t xml:space="preserve">Added additional comments to the issue for clarity. </w:t>
      </w:r>
    </w:p>
    <w:p w14:paraId="4CA8F369" w14:textId="128BE646" w:rsidR="0007304D" w:rsidRPr="00D43F56" w:rsidRDefault="00D43F56" w:rsidP="00D43F56">
      <w:pPr>
        <w:pStyle w:val="ListParagraph"/>
        <w:numPr>
          <w:ilvl w:val="2"/>
          <w:numId w:val="1"/>
        </w:numPr>
        <w:rPr>
          <w:i/>
          <w:iCs/>
        </w:rPr>
      </w:pPr>
      <w:r w:rsidRPr="00D43F56">
        <w:rPr>
          <w:i/>
          <w:iCs/>
        </w:rPr>
        <w:t>“</w:t>
      </w:r>
      <w:r w:rsidR="0007304D" w:rsidRPr="00D43F56">
        <w:rPr>
          <w:i/>
          <w:iCs/>
        </w:rPr>
        <w:t xml:space="preserve">Based on the TOE’s being evaluated, the need to test on bare metal will be generally obvious. Multi-Tenant is prevalent generally in use by customers and will likely be </w:t>
      </w:r>
      <w:proofErr w:type="gramStart"/>
      <w:r w:rsidR="0007304D" w:rsidRPr="00D43F56">
        <w:rPr>
          <w:i/>
          <w:iCs/>
        </w:rPr>
        <w:t>the vast majority of</w:t>
      </w:r>
      <w:proofErr w:type="gramEnd"/>
      <w:r w:rsidR="0007304D" w:rsidRPr="00D43F56">
        <w:rPr>
          <w:i/>
          <w:iCs/>
        </w:rPr>
        <w:t xml:space="preserve"> use cases</w:t>
      </w:r>
      <w:r w:rsidRPr="00D43F56">
        <w:rPr>
          <w:i/>
          <w:iCs/>
        </w:rPr>
        <w:t xml:space="preserve"> for evaluations</w:t>
      </w:r>
      <w:r w:rsidR="0007304D" w:rsidRPr="00D43F56">
        <w:rPr>
          <w:i/>
          <w:iCs/>
        </w:rPr>
        <w:t>.</w:t>
      </w:r>
      <w:r w:rsidRPr="00D43F56">
        <w:rPr>
          <w:i/>
          <w:iCs/>
        </w:rPr>
        <w:t>”</w:t>
      </w:r>
    </w:p>
    <w:p w14:paraId="5FCAA1E7" w14:textId="517362E0" w:rsidR="0007304D" w:rsidRDefault="0007304D" w:rsidP="00C95764">
      <w:pPr>
        <w:pStyle w:val="ListParagraph"/>
        <w:numPr>
          <w:ilvl w:val="1"/>
          <w:numId w:val="1"/>
        </w:numPr>
      </w:pPr>
      <w:r>
        <w:t>Tom Benkart raised an issue on the potential for multi-tenancy in apps/applications (</w:t>
      </w:r>
      <w:proofErr w:type="spellStart"/>
      <w:r>
        <w:t>eg.</w:t>
      </w:r>
      <w:proofErr w:type="spellEnd"/>
      <w:r>
        <w:t xml:space="preserve"> Vendors that provide security as a service and leverage SIEM apps which operate based on a multi-tenant bases, much like a DBMS.</w:t>
      </w:r>
    </w:p>
    <w:p w14:paraId="52A50D4E" w14:textId="5C06F0BB" w:rsidR="0007304D" w:rsidRDefault="0007304D" w:rsidP="0007304D">
      <w:pPr>
        <w:pStyle w:val="ListParagraph"/>
        <w:numPr>
          <w:ilvl w:val="2"/>
          <w:numId w:val="1"/>
        </w:numPr>
      </w:pPr>
      <w:r>
        <w:t xml:space="preserve">Discussion around modifying the definition for </w:t>
      </w:r>
      <w:proofErr w:type="gramStart"/>
      <w:r>
        <w:t>Multi-Tenant</w:t>
      </w:r>
      <w:proofErr w:type="gramEnd"/>
      <w:r>
        <w:t xml:space="preserve"> to include the following:</w:t>
      </w:r>
    </w:p>
    <w:p w14:paraId="0DA08BF1" w14:textId="114E2848" w:rsidR="0007304D" w:rsidRDefault="0007304D" w:rsidP="0007304D">
      <w:pPr>
        <w:pStyle w:val="ListParagraph"/>
        <w:numPr>
          <w:ilvl w:val="3"/>
          <w:numId w:val="1"/>
        </w:numPr>
        <w:rPr>
          <w:i/>
          <w:iCs/>
        </w:rPr>
      </w:pPr>
      <w:r w:rsidRPr="0007304D">
        <w:rPr>
          <w:i/>
          <w:iCs/>
        </w:rPr>
        <w:t xml:space="preserve">“Multi-Tenant refers to cloud services not application </w:t>
      </w:r>
      <w:proofErr w:type="gramStart"/>
      <w:r w:rsidRPr="0007304D">
        <w:rPr>
          <w:i/>
          <w:iCs/>
        </w:rPr>
        <w:t>functionality</w:t>
      </w:r>
      <w:proofErr w:type="gramEnd"/>
      <w:r w:rsidRPr="0007304D">
        <w:rPr>
          <w:i/>
          <w:iCs/>
        </w:rPr>
        <w:t>”</w:t>
      </w:r>
    </w:p>
    <w:p w14:paraId="7AF6C160" w14:textId="32988822" w:rsidR="00B87774" w:rsidRPr="00B87774" w:rsidRDefault="00B87774" w:rsidP="00D43F56">
      <w:pPr>
        <w:pStyle w:val="ListParagraph"/>
        <w:numPr>
          <w:ilvl w:val="2"/>
          <w:numId w:val="1"/>
        </w:numPr>
        <w:rPr>
          <w:i/>
          <w:iCs/>
        </w:rPr>
      </w:pPr>
      <w:r>
        <w:t>Roger raised a point o</w:t>
      </w:r>
      <w:r w:rsidR="00D43F56">
        <w:t>n</w:t>
      </w:r>
      <w:r>
        <w:t xml:space="preserve"> whether this definition is to be used project wide or just for this section. It was identified that we currently do not have a definition for </w:t>
      </w:r>
      <w:r w:rsidR="00D43F56">
        <w:t>‘</w:t>
      </w:r>
      <w:r>
        <w:t>Bare Metal</w:t>
      </w:r>
      <w:r w:rsidR="00D43F56">
        <w:t>’ in the Guidance Doc.</w:t>
      </w:r>
    </w:p>
    <w:p w14:paraId="7E6BFD50" w14:textId="51762698" w:rsidR="0007304D" w:rsidRPr="00B87774" w:rsidRDefault="00D43F56" w:rsidP="0007304D">
      <w:pPr>
        <w:pStyle w:val="ListParagraph"/>
        <w:numPr>
          <w:ilvl w:val="2"/>
          <w:numId w:val="1"/>
        </w:numPr>
        <w:rPr>
          <w:i/>
          <w:iCs/>
        </w:rPr>
      </w:pPr>
      <w:r>
        <w:t xml:space="preserve">The following </w:t>
      </w:r>
      <w:r w:rsidR="00B87774">
        <w:t xml:space="preserve">definition for </w:t>
      </w:r>
      <w:r>
        <w:t>‘</w:t>
      </w:r>
      <w:r w:rsidR="00B87774">
        <w:t>Bare Metal</w:t>
      </w:r>
      <w:r>
        <w:t>’</w:t>
      </w:r>
      <w:r w:rsidR="00B87774">
        <w:t xml:space="preserve"> was added into the Guidance </w:t>
      </w:r>
      <w:r>
        <w:t>document:</w:t>
      </w:r>
    </w:p>
    <w:p w14:paraId="48AF06E9" w14:textId="7B438EB3" w:rsidR="00B87774" w:rsidRDefault="00B87774" w:rsidP="00B87774">
      <w:pPr>
        <w:pStyle w:val="ListParagraph"/>
        <w:numPr>
          <w:ilvl w:val="3"/>
          <w:numId w:val="1"/>
        </w:numPr>
        <w:rPr>
          <w:i/>
          <w:iCs/>
        </w:rPr>
      </w:pPr>
      <w:proofErr w:type="gramStart"/>
      <w:r w:rsidRPr="00B87774">
        <w:rPr>
          <w:i/>
          <w:iCs/>
        </w:rPr>
        <w:t xml:space="preserve">“ </w:t>
      </w:r>
      <w:r w:rsidRPr="00B87774">
        <w:rPr>
          <w:i/>
          <w:iCs/>
        </w:rPr>
        <w:t>A</w:t>
      </w:r>
      <w:proofErr w:type="gramEnd"/>
      <w:r w:rsidRPr="00B87774">
        <w:rPr>
          <w:i/>
          <w:iCs/>
        </w:rPr>
        <w:t xml:space="preserve"> bare-metal server is a physical computer server that is used by one consumer, or tenant, only. Each server offered for rental is a distinct physical piece of hardware that is a functional server on its own.</w:t>
      </w:r>
      <w:r>
        <w:rPr>
          <w:i/>
          <w:iCs/>
        </w:rPr>
        <w:t>”</w:t>
      </w:r>
    </w:p>
    <w:p w14:paraId="69C66D0C" w14:textId="49D14FE5" w:rsidR="00B87774" w:rsidRPr="00B87774" w:rsidRDefault="00D43F56" w:rsidP="00B87774">
      <w:pPr>
        <w:pStyle w:val="ListParagraph"/>
        <w:numPr>
          <w:ilvl w:val="2"/>
          <w:numId w:val="1"/>
        </w:numPr>
        <w:rPr>
          <w:i/>
          <w:iCs/>
        </w:rPr>
      </w:pPr>
      <w:r>
        <w:t>The following d</w:t>
      </w:r>
      <w:r w:rsidR="00B87774">
        <w:t xml:space="preserve">efinition for </w:t>
      </w:r>
      <w:r>
        <w:t>‘</w:t>
      </w:r>
      <w:proofErr w:type="gramStart"/>
      <w:r w:rsidR="00B87774">
        <w:t>Multi-Tenant</w:t>
      </w:r>
      <w:proofErr w:type="gramEnd"/>
      <w:r>
        <w:t>’</w:t>
      </w:r>
      <w:r w:rsidR="00B87774">
        <w:t xml:space="preserve"> was also added to the guidance doc:</w:t>
      </w:r>
    </w:p>
    <w:p w14:paraId="5742563A" w14:textId="2087BA96" w:rsidR="00D44173" w:rsidRPr="00D43F56" w:rsidRDefault="00D43F56" w:rsidP="00D44173">
      <w:pPr>
        <w:pStyle w:val="ListParagraph"/>
        <w:numPr>
          <w:ilvl w:val="3"/>
          <w:numId w:val="1"/>
        </w:numPr>
        <w:rPr>
          <w:i/>
          <w:iCs/>
          <w:u w:val="single"/>
        </w:rPr>
      </w:pPr>
      <w:r w:rsidRPr="00D43F56">
        <w:rPr>
          <w:i/>
          <w:iCs/>
        </w:rPr>
        <w:t>“</w:t>
      </w:r>
      <w:r w:rsidRPr="00D43F56">
        <w:rPr>
          <w:i/>
          <w:iCs/>
        </w:rPr>
        <w:t xml:space="preserve">Multi-Tenant uses a shared infrastructure to provide services for multiple cloud customers. Multi-Tenancy means that multiple customers of a cloud vendor are using the same computing resources. </w:t>
      </w:r>
      <w:proofErr w:type="gramStart"/>
      <w:r w:rsidRPr="00D43F56">
        <w:rPr>
          <w:i/>
          <w:iCs/>
        </w:rPr>
        <w:t>Despite the fact that</w:t>
      </w:r>
      <w:proofErr w:type="gramEnd"/>
      <w:r w:rsidRPr="00D43F56">
        <w:rPr>
          <w:i/>
          <w:iCs/>
        </w:rPr>
        <w:t xml:space="preserve"> they share resources, cloud customers are logically separated from each other, and their data is isolated.</w:t>
      </w:r>
      <w:r w:rsidRPr="00D43F56">
        <w:rPr>
          <w:i/>
          <w:iCs/>
        </w:rPr>
        <w:t>”</w:t>
      </w:r>
    </w:p>
    <w:p w14:paraId="78C2082C" w14:textId="133C5D02" w:rsidR="00D44173" w:rsidRPr="00D44173" w:rsidRDefault="00D44173" w:rsidP="00D44173">
      <w:pPr>
        <w:pStyle w:val="ListParagraph"/>
        <w:numPr>
          <w:ilvl w:val="1"/>
          <w:numId w:val="1"/>
        </w:numPr>
        <w:rPr>
          <w:i/>
          <w:iCs/>
          <w:u w:val="single"/>
        </w:rPr>
      </w:pPr>
      <w:r>
        <w:t xml:space="preserve">Josh shared a discussion </w:t>
      </w:r>
      <w:r w:rsidR="000C2706">
        <w:t xml:space="preserve">(issue #79) </w:t>
      </w:r>
      <w:r>
        <w:t>item posted by Elaine N regarding the need to limit multi-tenancy as outlined in DoD SRG IL5.</w:t>
      </w:r>
    </w:p>
    <w:p w14:paraId="6943E037" w14:textId="49BDFA78" w:rsidR="00D44173" w:rsidRPr="00D44173" w:rsidRDefault="00D44173" w:rsidP="00D44173">
      <w:pPr>
        <w:pStyle w:val="ListParagraph"/>
        <w:numPr>
          <w:ilvl w:val="2"/>
          <w:numId w:val="1"/>
        </w:numPr>
        <w:rPr>
          <w:i/>
          <w:iCs/>
          <w:u w:val="single"/>
        </w:rPr>
      </w:pPr>
      <w:r>
        <w:lastRenderedPageBreak/>
        <w:t>Section 5.2.2.3 Impact Level 5 Location and Separation Requirements states the following:</w:t>
      </w:r>
    </w:p>
    <w:p w14:paraId="183EB49F" w14:textId="6CBBBA76" w:rsidR="00D44173" w:rsidRPr="000C2706" w:rsidRDefault="00D44173" w:rsidP="00D44173">
      <w:pPr>
        <w:pStyle w:val="ListParagraph"/>
        <w:numPr>
          <w:ilvl w:val="3"/>
          <w:numId w:val="1"/>
        </w:numPr>
        <w:rPr>
          <w:i/>
          <w:iCs/>
          <w:u w:val="single"/>
        </w:rPr>
      </w:pPr>
      <w:r w:rsidRPr="00D44173">
        <w:rPr>
          <w:i/>
          <w:iCs/>
        </w:rPr>
        <w:t>“</w:t>
      </w:r>
      <w:r w:rsidR="00D43F56" w:rsidRPr="00D44173">
        <w:rPr>
          <w:i/>
          <w:iCs/>
        </w:rPr>
        <w:t>Virtual</w:t>
      </w:r>
      <w:r w:rsidRPr="00D44173">
        <w:rPr>
          <w:i/>
          <w:iCs/>
        </w:rPr>
        <w:t>/logical separation between DoD and federal Government tenants/missions is sufficient. Virtual/</w:t>
      </w:r>
      <w:r w:rsidR="00D43F56" w:rsidRPr="00D44173">
        <w:rPr>
          <w:i/>
          <w:iCs/>
        </w:rPr>
        <w:t>Logical</w:t>
      </w:r>
      <w:r w:rsidRPr="00D44173">
        <w:rPr>
          <w:i/>
          <w:iCs/>
        </w:rPr>
        <w:t xml:space="preserve"> separation between tenant/mission systems is minimally required. Physical separation from non-DoD/non-</w:t>
      </w:r>
      <w:r w:rsidR="00D43F56" w:rsidRPr="00D44173">
        <w:rPr>
          <w:i/>
          <w:iCs/>
        </w:rPr>
        <w:t>federal</w:t>
      </w:r>
      <w:r w:rsidRPr="00D44173">
        <w:rPr>
          <w:i/>
          <w:iCs/>
        </w:rPr>
        <w:t xml:space="preserve"> government tenants (</w:t>
      </w:r>
      <w:proofErr w:type="spellStart"/>
      <w:r w:rsidRPr="00D44173">
        <w:rPr>
          <w:i/>
          <w:iCs/>
        </w:rPr>
        <w:t>ie</w:t>
      </w:r>
      <w:proofErr w:type="spellEnd"/>
      <w:r w:rsidRPr="00D44173">
        <w:rPr>
          <w:i/>
          <w:iCs/>
        </w:rPr>
        <w:t xml:space="preserve">. Public, local/state </w:t>
      </w:r>
      <w:r w:rsidR="00D43F56" w:rsidRPr="00D44173">
        <w:rPr>
          <w:i/>
          <w:iCs/>
        </w:rPr>
        <w:t>government</w:t>
      </w:r>
      <w:r w:rsidRPr="00D44173">
        <w:rPr>
          <w:i/>
          <w:iCs/>
        </w:rPr>
        <w:t xml:space="preserve"> tenants) is required.”</w:t>
      </w:r>
    </w:p>
    <w:p w14:paraId="30A397B6" w14:textId="0B77733F" w:rsidR="000C2706" w:rsidRPr="00D44173" w:rsidRDefault="000C2706" w:rsidP="00D44173">
      <w:pPr>
        <w:pStyle w:val="ListParagraph"/>
        <w:numPr>
          <w:ilvl w:val="3"/>
          <w:numId w:val="1"/>
        </w:numPr>
        <w:rPr>
          <w:i/>
          <w:iCs/>
          <w:u w:val="single"/>
        </w:rPr>
      </w:pPr>
      <w:r>
        <w:t xml:space="preserve">This relates to issue #35. This is a deployment issue and most likely not a CC testing concern although the labs should ask the vendor for their deployment scenarios. Of note, the pricing differential for Bare Metal vs </w:t>
      </w:r>
      <w:proofErr w:type="gramStart"/>
      <w:r>
        <w:t>Multi-Tenancy</w:t>
      </w:r>
      <w:proofErr w:type="gramEnd"/>
      <w:r>
        <w:t xml:space="preserve"> is significant.</w:t>
      </w:r>
    </w:p>
    <w:p w14:paraId="2B7388CE" w14:textId="0C2DE22C" w:rsidR="00927D27" w:rsidRPr="00927D27" w:rsidRDefault="00927D27" w:rsidP="00927D27">
      <w:pPr>
        <w:pStyle w:val="ListParagraph"/>
        <w:numPr>
          <w:ilvl w:val="2"/>
          <w:numId w:val="1"/>
        </w:numPr>
        <w:rPr>
          <w:i/>
          <w:iCs/>
          <w:u w:val="single"/>
        </w:rPr>
      </w:pPr>
      <w:r>
        <w:t>Alicia Squires shared an example of the cost of bare</w:t>
      </w:r>
      <w:r w:rsidR="00D43F56">
        <w:t>-</w:t>
      </w:r>
      <w:r>
        <w:t xml:space="preserve">metal vs multi-tenant environments. A single bare metal host would cost </w:t>
      </w:r>
      <w:r w:rsidR="00D43F56">
        <w:t xml:space="preserve">several thousand dollars per month vs a few hundred for multi-tenant instances. </w:t>
      </w:r>
    </w:p>
    <w:p w14:paraId="48EB5C29" w14:textId="50E1ADCD" w:rsidR="00927D27" w:rsidRPr="00927D27" w:rsidRDefault="00D43F56" w:rsidP="00927D27">
      <w:pPr>
        <w:pStyle w:val="ListParagraph"/>
        <w:numPr>
          <w:ilvl w:val="1"/>
          <w:numId w:val="1"/>
        </w:numPr>
        <w:rPr>
          <w:i/>
          <w:iCs/>
          <w:u w:val="single"/>
        </w:rPr>
      </w:pPr>
      <w:r>
        <w:t xml:space="preserve">A new section was added to the </w:t>
      </w:r>
      <w:r w:rsidR="00927D27">
        <w:t>Guidance doc</w:t>
      </w:r>
      <w:r>
        <w:t>ument</w:t>
      </w:r>
      <w:r w:rsidR="00927D27">
        <w:t xml:space="preserve"> – </w:t>
      </w:r>
      <w:r w:rsidR="00927D27" w:rsidRPr="00D43F56">
        <w:rPr>
          <w:b/>
          <w:bCs/>
        </w:rPr>
        <w:t xml:space="preserve">“Guidance for </w:t>
      </w:r>
      <w:r w:rsidRPr="00D43F56">
        <w:rPr>
          <w:b/>
          <w:bCs/>
        </w:rPr>
        <w:t>E</w:t>
      </w:r>
      <w:r w:rsidR="00927D27" w:rsidRPr="00D43F56">
        <w:rPr>
          <w:b/>
          <w:bCs/>
        </w:rPr>
        <w:t xml:space="preserve">stablishing </w:t>
      </w:r>
      <w:r w:rsidRPr="00D43F56">
        <w:rPr>
          <w:b/>
          <w:bCs/>
        </w:rPr>
        <w:t>T</w:t>
      </w:r>
      <w:r w:rsidR="00927D27" w:rsidRPr="00D43F56">
        <w:rPr>
          <w:b/>
          <w:bCs/>
        </w:rPr>
        <w:t xml:space="preserve">est </w:t>
      </w:r>
      <w:r w:rsidRPr="00D43F56">
        <w:rPr>
          <w:b/>
          <w:bCs/>
        </w:rPr>
        <w:t>E</w:t>
      </w:r>
      <w:r w:rsidR="00927D27" w:rsidRPr="00D43F56">
        <w:rPr>
          <w:b/>
          <w:bCs/>
        </w:rPr>
        <w:t xml:space="preserve">nvironments on Cloud </w:t>
      </w:r>
      <w:proofErr w:type="gramStart"/>
      <w:r w:rsidRPr="00D43F56">
        <w:rPr>
          <w:b/>
          <w:bCs/>
        </w:rPr>
        <w:t>I</w:t>
      </w:r>
      <w:r w:rsidR="00927D27" w:rsidRPr="00D43F56">
        <w:rPr>
          <w:b/>
          <w:bCs/>
        </w:rPr>
        <w:t>nfrastructure</w:t>
      </w:r>
      <w:proofErr w:type="gramEnd"/>
      <w:r w:rsidR="00927D27" w:rsidRPr="00D43F56">
        <w:rPr>
          <w:b/>
          <w:bCs/>
        </w:rPr>
        <w:t>”</w:t>
      </w:r>
    </w:p>
    <w:p w14:paraId="09168E83" w14:textId="00286F84" w:rsidR="00D43F56" w:rsidRPr="00D43F56" w:rsidRDefault="00D43F56" w:rsidP="00D43F56">
      <w:pPr>
        <w:pStyle w:val="ListParagraph"/>
        <w:numPr>
          <w:ilvl w:val="2"/>
          <w:numId w:val="1"/>
        </w:numPr>
        <w:rPr>
          <w:i/>
          <w:iCs/>
        </w:rPr>
      </w:pPr>
      <w:r w:rsidRPr="00D43F56">
        <w:rPr>
          <w:i/>
          <w:iCs/>
        </w:rPr>
        <w:t>“</w:t>
      </w:r>
      <w:r w:rsidRPr="00D43F56">
        <w:rPr>
          <w:i/>
          <w:iCs/>
        </w:rPr>
        <w:t>As Common Criteria testing requires unique test environments for each TOE that are isolated to prevent contamination of test results, testing on Public Cloud infrastructure raises some initial concerns.</w:t>
      </w:r>
    </w:p>
    <w:p w14:paraId="7BEF7441" w14:textId="36CE4580" w:rsidR="00D43F56" w:rsidRPr="00D43F56" w:rsidRDefault="00D43F56" w:rsidP="00D43F56">
      <w:pPr>
        <w:pStyle w:val="ListParagraph"/>
        <w:ind w:left="2160"/>
        <w:rPr>
          <w:i/>
          <w:iCs/>
        </w:rPr>
      </w:pPr>
      <w:r w:rsidRPr="00D43F56">
        <w:rPr>
          <w:i/>
          <w:iCs/>
        </w:rPr>
        <w:br/>
      </w:r>
      <w:r w:rsidRPr="00D43F56">
        <w:rPr>
          <w:i/>
          <w:iCs/>
        </w:rPr>
        <w:t xml:space="preserve">In general, the necessity to abstract from underlying hardware layers is dictated by the TOE type in Protection Profiles. For instance, the </w:t>
      </w:r>
      <w:proofErr w:type="spellStart"/>
      <w:r w:rsidRPr="00D43F56">
        <w:rPr>
          <w:i/>
          <w:iCs/>
        </w:rPr>
        <w:t>cPP</w:t>
      </w:r>
      <w:proofErr w:type="spellEnd"/>
      <w:r w:rsidRPr="00D43F56">
        <w:rPr>
          <w:i/>
          <w:iCs/>
        </w:rPr>
        <w:t xml:space="preserve"> for Application Software relies only on the underlying OS and makes no distinction on whether that OS is virtualized or not. In this scenario bare metal isolation in the cloud testing would be unnecessary and a multi-tenancy environment is acceptable.</w:t>
      </w:r>
    </w:p>
    <w:p w14:paraId="5ED96639" w14:textId="224D191E" w:rsidR="00D44173" w:rsidRPr="00D43F56" w:rsidRDefault="00D43F56" w:rsidP="00D43F56">
      <w:pPr>
        <w:pStyle w:val="ListParagraph"/>
        <w:ind w:left="2160"/>
        <w:rPr>
          <w:i/>
          <w:iCs/>
          <w:u w:val="single"/>
        </w:rPr>
      </w:pPr>
      <w:r w:rsidRPr="00D43F56">
        <w:rPr>
          <w:i/>
          <w:iCs/>
        </w:rPr>
        <w:br/>
      </w:r>
      <w:r w:rsidRPr="00D43F56">
        <w:rPr>
          <w:i/>
          <w:iCs/>
        </w:rPr>
        <w:t>A CC lab should be prepared to create and offer cloud testing infrastructure to TOE developers.</w:t>
      </w:r>
      <w:r w:rsidRPr="00D43F56">
        <w:rPr>
          <w:i/>
          <w:iCs/>
        </w:rPr>
        <w:t>”</w:t>
      </w:r>
    </w:p>
    <w:p w14:paraId="1AB90BF4" w14:textId="77777777" w:rsidR="00271127" w:rsidRDefault="00271127" w:rsidP="00271127"/>
    <w:p w14:paraId="25F35844" w14:textId="69213FB8" w:rsidR="00246211" w:rsidRDefault="00271127" w:rsidP="00271127">
      <w:pPr>
        <w:rPr>
          <w:b/>
          <w:bCs/>
        </w:rPr>
      </w:pPr>
      <w:r w:rsidRPr="008013C3">
        <w:rPr>
          <w:b/>
          <w:bCs/>
        </w:rPr>
        <w:t>Questions/Follow-ups:</w:t>
      </w:r>
    </w:p>
    <w:p w14:paraId="3B965AD9" w14:textId="405E5469" w:rsidR="008013C3" w:rsidRDefault="00D43F56" w:rsidP="00271127">
      <w:pPr>
        <w:rPr>
          <w:b/>
          <w:bCs/>
        </w:rPr>
      </w:pPr>
      <w:r>
        <w:rPr>
          <w:b/>
          <w:bCs/>
        </w:rPr>
        <w:t>~</w:t>
      </w:r>
    </w:p>
    <w:p w14:paraId="2539F1FD" w14:textId="3B05303B" w:rsidR="008013C3" w:rsidRDefault="008013C3" w:rsidP="00271127">
      <w:pPr>
        <w:rPr>
          <w:b/>
          <w:bCs/>
        </w:rPr>
      </w:pPr>
    </w:p>
    <w:p w14:paraId="34B7E488" w14:textId="0DC6F8EC" w:rsidR="008013C3" w:rsidRDefault="008013C3" w:rsidP="00271127">
      <w:pPr>
        <w:rPr>
          <w:b/>
          <w:bCs/>
        </w:rPr>
      </w:pPr>
    </w:p>
    <w:p w14:paraId="25481C1A" w14:textId="5A6AC4EB" w:rsidR="008013C3" w:rsidRDefault="008013C3" w:rsidP="00271127">
      <w:pPr>
        <w:rPr>
          <w:b/>
          <w:bCs/>
        </w:rPr>
      </w:pPr>
    </w:p>
    <w:p w14:paraId="2F1F662C" w14:textId="09A41A3A" w:rsidR="008013C3" w:rsidRPr="00527B24" w:rsidRDefault="008013C3" w:rsidP="008013C3">
      <w:pPr>
        <w:rPr>
          <w:b/>
          <w:bCs/>
          <w:i/>
          <w:iCs/>
        </w:rPr>
      </w:pPr>
      <w:r w:rsidRPr="00984FD5">
        <w:rPr>
          <w:b/>
          <w:bCs/>
          <w:i/>
          <w:iCs/>
        </w:rPr>
        <w:t>End of Meeting – Adjourned 0</w:t>
      </w:r>
      <w:r>
        <w:rPr>
          <w:b/>
          <w:bCs/>
          <w:i/>
          <w:iCs/>
        </w:rPr>
        <w:t>85</w:t>
      </w:r>
      <w:r w:rsidR="00D84798">
        <w:rPr>
          <w:b/>
          <w:bCs/>
          <w:i/>
          <w:iCs/>
        </w:rPr>
        <w:t>8</w:t>
      </w:r>
      <w:r w:rsidRPr="00984FD5">
        <w:rPr>
          <w:b/>
          <w:bCs/>
          <w:i/>
          <w:iCs/>
        </w:rPr>
        <w:t xml:space="preserve"> P</w:t>
      </w:r>
      <w:r w:rsidR="00D84798">
        <w:rPr>
          <w:b/>
          <w:bCs/>
          <w:i/>
          <w:iCs/>
        </w:rPr>
        <w:t>D</w:t>
      </w:r>
      <w:r w:rsidRPr="00984FD5">
        <w:rPr>
          <w:b/>
          <w:bCs/>
          <w:i/>
          <w:iCs/>
        </w:rPr>
        <w:t>T</w:t>
      </w:r>
    </w:p>
    <w:p w14:paraId="4D116368" w14:textId="77777777" w:rsidR="008013C3" w:rsidRPr="008013C3" w:rsidRDefault="008013C3" w:rsidP="00271127">
      <w:pPr>
        <w:rPr>
          <w:b/>
          <w:bCs/>
        </w:rPr>
      </w:pPr>
    </w:p>
    <w:sectPr w:rsidR="008013C3" w:rsidRPr="008013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96663B"/>
    <w:multiLevelType w:val="hybridMultilevel"/>
    <w:tmpl w:val="EFA6515E"/>
    <w:lvl w:ilvl="0" w:tplc="C0E8F77C">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11604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127"/>
    <w:rsid w:val="0007304D"/>
    <w:rsid w:val="000C2706"/>
    <w:rsid w:val="00246211"/>
    <w:rsid w:val="00271127"/>
    <w:rsid w:val="00662BA2"/>
    <w:rsid w:val="007D635C"/>
    <w:rsid w:val="008013C3"/>
    <w:rsid w:val="009076BD"/>
    <w:rsid w:val="00927D27"/>
    <w:rsid w:val="00B87774"/>
    <w:rsid w:val="00C95764"/>
    <w:rsid w:val="00D43F56"/>
    <w:rsid w:val="00D44173"/>
    <w:rsid w:val="00D84798"/>
    <w:rsid w:val="00D87D3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90C31"/>
  <w15:chartTrackingRefBased/>
  <w15:docId w15:val="{5ED40A5E-E100-4470-8828-487F258C5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7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6092">
      <w:bodyDiv w:val="1"/>
      <w:marLeft w:val="0"/>
      <w:marRight w:val="0"/>
      <w:marTop w:val="0"/>
      <w:marBottom w:val="0"/>
      <w:divBdr>
        <w:top w:val="none" w:sz="0" w:space="0" w:color="auto"/>
        <w:left w:val="none" w:sz="0" w:space="0" w:color="auto"/>
        <w:bottom w:val="none" w:sz="0" w:space="0" w:color="auto"/>
        <w:right w:val="none" w:sz="0" w:space="0" w:color="auto"/>
      </w:divBdr>
      <w:divsChild>
        <w:div w:id="884296438">
          <w:marLeft w:val="0"/>
          <w:marRight w:val="0"/>
          <w:marTop w:val="0"/>
          <w:marBottom w:val="0"/>
          <w:divBdr>
            <w:top w:val="none" w:sz="0" w:space="0" w:color="auto"/>
            <w:left w:val="none" w:sz="0" w:space="0" w:color="auto"/>
            <w:bottom w:val="none" w:sz="0" w:space="0" w:color="auto"/>
            <w:right w:val="none" w:sz="0" w:space="0" w:color="auto"/>
          </w:divBdr>
        </w:div>
        <w:div w:id="1819110400">
          <w:marLeft w:val="0"/>
          <w:marRight w:val="0"/>
          <w:marTop w:val="0"/>
          <w:marBottom w:val="0"/>
          <w:divBdr>
            <w:top w:val="none" w:sz="0" w:space="0" w:color="auto"/>
            <w:left w:val="none" w:sz="0" w:space="0" w:color="auto"/>
            <w:bottom w:val="none" w:sz="0" w:space="0" w:color="auto"/>
            <w:right w:val="none" w:sz="0" w:space="0" w:color="auto"/>
          </w:divBdr>
        </w:div>
        <w:div w:id="1492066490">
          <w:marLeft w:val="0"/>
          <w:marRight w:val="0"/>
          <w:marTop w:val="0"/>
          <w:marBottom w:val="0"/>
          <w:divBdr>
            <w:top w:val="none" w:sz="0" w:space="0" w:color="auto"/>
            <w:left w:val="none" w:sz="0" w:space="0" w:color="auto"/>
            <w:bottom w:val="none" w:sz="0" w:space="0" w:color="auto"/>
            <w:right w:val="none" w:sz="0" w:space="0" w:color="auto"/>
          </w:divBdr>
        </w:div>
      </w:divsChild>
    </w:div>
    <w:div w:id="2091467088">
      <w:bodyDiv w:val="1"/>
      <w:marLeft w:val="0"/>
      <w:marRight w:val="0"/>
      <w:marTop w:val="0"/>
      <w:marBottom w:val="0"/>
      <w:divBdr>
        <w:top w:val="none" w:sz="0" w:space="0" w:color="auto"/>
        <w:left w:val="none" w:sz="0" w:space="0" w:color="auto"/>
        <w:bottom w:val="none" w:sz="0" w:space="0" w:color="auto"/>
        <w:right w:val="none" w:sz="0" w:space="0" w:color="auto"/>
      </w:divBdr>
      <w:divsChild>
        <w:div w:id="1640568884">
          <w:marLeft w:val="0"/>
          <w:marRight w:val="0"/>
          <w:marTop w:val="0"/>
          <w:marBottom w:val="0"/>
          <w:divBdr>
            <w:top w:val="none" w:sz="0" w:space="0" w:color="auto"/>
            <w:left w:val="none" w:sz="0" w:space="0" w:color="auto"/>
            <w:bottom w:val="none" w:sz="0" w:space="0" w:color="auto"/>
            <w:right w:val="none" w:sz="0" w:space="0" w:color="auto"/>
          </w:divBdr>
        </w:div>
        <w:div w:id="371464409">
          <w:marLeft w:val="0"/>
          <w:marRight w:val="0"/>
          <w:marTop w:val="0"/>
          <w:marBottom w:val="0"/>
          <w:divBdr>
            <w:top w:val="none" w:sz="0" w:space="0" w:color="auto"/>
            <w:left w:val="none" w:sz="0" w:space="0" w:color="auto"/>
            <w:bottom w:val="none" w:sz="0" w:space="0" w:color="auto"/>
            <w:right w:val="none" w:sz="0" w:space="0" w:color="auto"/>
          </w:divBdr>
        </w:div>
        <w:div w:id="1457291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Nickel</dc:creator>
  <cp:keywords/>
  <dc:description/>
  <cp:lastModifiedBy>Garrett Nickel</cp:lastModifiedBy>
  <cp:revision>13</cp:revision>
  <dcterms:created xsi:type="dcterms:W3CDTF">2022-06-08T18:04:00Z</dcterms:created>
  <dcterms:modified xsi:type="dcterms:W3CDTF">2023-03-29T18:42:00Z</dcterms:modified>
</cp:coreProperties>
</file>