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01BE" w14:textId="64ED9D71" w:rsidR="00271127" w:rsidRDefault="00DD152D" w:rsidP="00271127">
      <w:r w:rsidRPr="00DD152D">
        <w:t xml:space="preserve">7:41 AM </w:t>
      </w:r>
      <w:r>
        <w:t xml:space="preserve">PDT </w:t>
      </w:r>
      <w:r w:rsidRPr="00DD152D">
        <w:t>2023-04-26</w:t>
      </w:r>
    </w:p>
    <w:p w14:paraId="19ACF745" w14:textId="49511100" w:rsidR="00271127" w:rsidRDefault="00271127" w:rsidP="008013C3">
      <w:pPr>
        <w:spacing w:after="0" w:line="240" w:lineRule="auto"/>
      </w:pPr>
      <w:r w:rsidRPr="008013C3">
        <w:rPr>
          <w:b/>
          <w:bCs/>
        </w:rPr>
        <w:t>Call to Order:</w:t>
      </w:r>
      <w:r>
        <w:tab/>
      </w:r>
      <w:r w:rsidR="008013C3">
        <w:tab/>
      </w:r>
      <w:r>
        <w:t>080</w:t>
      </w:r>
      <w:r w:rsidR="006B15D8">
        <w:t>5</w:t>
      </w:r>
      <w:r>
        <w:t xml:space="preserve"> </w:t>
      </w:r>
    </w:p>
    <w:p w14:paraId="1B96C312" w14:textId="5FF3EDDC" w:rsidR="00271127" w:rsidRDefault="00271127" w:rsidP="008013C3">
      <w:pPr>
        <w:spacing w:after="0" w:line="240" w:lineRule="auto"/>
      </w:pPr>
      <w:r w:rsidRPr="008013C3">
        <w:rPr>
          <w:b/>
          <w:bCs/>
        </w:rPr>
        <w:t>Meeting Lead:</w:t>
      </w:r>
      <w:r>
        <w:tab/>
      </w:r>
      <w:r w:rsidR="008013C3">
        <w:tab/>
      </w:r>
      <w:r w:rsidR="00AB4F10">
        <w:t>Brandon HARVEY (Josh away)</w:t>
      </w:r>
    </w:p>
    <w:p w14:paraId="31AE9F9F" w14:textId="7EA1B9A9" w:rsidR="00271127" w:rsidRDefault="00271127" w:rsidP="008013C3">
      <w:pPr>
        <w:spacing w:after="0" w:line="240" w:lineRule="auto"/>
      </w:pPr>
      <w:r w:rsidRPr="008013C3">
        <w:rPr>
          <w:b/>
          <w:bCs/>
        </w:rPr>
        <w:t>Attendees:</w:t>
      </w:r>
      <w:r>
        <w:tab/>
      </w:r>
      <w:r w:rsidR="008013C3">
        <w:tab/>
      </w:r>
      <w:r w:rsidR="001714E6">
        <w:t>18</w:t>
      </w:r>
    </w:p>
    <w:p w14:paraId="6F04D73C" w14:textId="3D6E2006" w:rsidR="008013C3" w:rsidRDefault="008013C3" w:rsidP="008013C3">
      <w:pPr>
        <w:spacing w:after="0" w:line="240" w:lineRule="auto"/>
      </w:pPr>
      <w:r w:rsidRPr="008013C3">
        <w:rPr>
          <w:b/>
          <w:bCs/>
        </w:rPr>
        <w:t>Member Count:</w:t>
      </w:r>
      <w:r>
        <w:tab/>
      </w:r>
      <w:r w:rsidR="00DD152D">
        <w:t>70</w:t>
      </w:r>
    </w:p>
    <w:p w14:paraId="50CB3647" w14:textId="5722DF65" w:rsidR="008013C3" w:rsidRDefault="008013C3" w:rsidP="008013C3">
      <w:pPr>
        <w:spacing w:after="0" w:line="240" w:lineRule="auto"/>
      </w:pPr>
      <w:r w:rsidRPr="008013C3">
        <w:rPr>
          <w:b/>
          <w:bCs/>
        </w:rPr>
        <w:t>Next Meeting:</w:t>
      </w:r>
      <w:r>
        <w:t xml:space="preserve"> </w:t>
      </w:r>
      <w:r>
        <w:tab/>
      </w:r>
      <w:r>
        <w:tab/>
      </w:r>
      <w:r w:rsidR="00DD152D">
        <w:t>Wednesday May 3</w:t>
      </w:r>
      <w:r w:rsidR="00DD152D" w:rsidRPr="00DD152D">
        <w:rPr>
          <w:vertAlign w:val="superscript"/>
        </w:rPr>
        <w:t>rd</w:t>
      </w:r>
      <w:r w:rsidR="00DD152D">
        <w:t>, 2023</w:t>
      </w:r>
    </w:p>
    <w:p w14:paraId="132E58A1" w14:textId="77777777" w:rsidR="00271127" w:rsidRDefault="00271127" w:rsidP="00271127"/>
    <w:p w14:paraId="740AD600" w14:textId="77777777" w:rsidR="00271127" w:rsidRPr="008013C3" w:rsidRDefault="00271127" w:rsidP="00271127">
      <w:pPr>
        <w:rPr>
          <w:b/>
          <w:bCs/>
        </w:rPr>
      </w:pPr>
      <w:r w:rsidRPr="008013C3">
        <w:rPr>
          <w:b/>
          <w:bCs/>
        </w:rPr>
        <w:t>Highlights:</w:t>
      </w:r>
    </w:p>
    <w:p w14:paraId="24087A29" w14:textId="4CF4B370" w:rsidR="00271127" w:rsidRDefault="00341748" w:rsidP="00271127">
      <w:r>
        <w:t>~</w:t>
      </w:r>
    </w:p>
    <w:p w14:paraId="74432A98" w14:textId="77777777" w:rsidR="00271127" w:rsidRPr="008013C3" w:rsidRDefault="00271127" w:rsidP="00271127">
      <w:pPr>
        <w:rPr>
          <w:b/>
          <w:bCs/>
        </w:rPr>
      </w:pPr>
      <w:r w:rsidRPr="008013C3">
        <w:rPr>
          <w:b/>
          <w:bCs/>
        </w:rPr>
        <w:t>Old Business:</w:t>
      </w:r>
    </w:p>
    <w:p w14:paraId="778D3235" w14:textId="7A0ACACD" w:rsidR="00271127" w:rsidRDefault="00341748" w:rsidP="00271127">
      <w:r>
        <w:t>~</w:t>
      </w:r>
    </w:p>
    <w:p w14:paraId="7ECC17EE" w14:textId="77777777" w:rsidR="00271127" w:rsidRPr="008013C3" w:rsidRDefault="00271127" w:rsidP="00271127">
      <w:pPr>
        <w:rPr>
          <w:b/>
          <w:bCs/>
        </w:rPr>
      </w:pPr>
      <w:r w:rsidRPr="008013C3">
        <w:rPr>
          <w:b/>
          <w:bCs/>
        </w:rPr>
        <w:t>New Business:</w:t>
      </w:r>
    </w:p>
    <w:p w14:paraId="7E94984F" w14:textId="383A44B0" w:rsidR="006B15D8" w:rsidRDefault="006B15D8" w:rsidP="006B15D8">
      <w:pPr>
        <w:pStyle w:val="ListParagraph"/>
        <w:numPr>
          <w:ilvl w:val="0"/>
          <w:numId w:val="1"/>
        </w:numPr>
      </w:pPr>
      <w:r>
        <w:t xml:space="preserve">Modified the “High Level Process </w:t>
      </w:r>
      <w:r w:rsidR="00CF343F">
        <w:t>O</w:t>
      </w:r>
      <w:r>
        <w:t>verview” section</w:t>
      </w:r>
      <w:r w:rsidR="00CF343F">
        <w:t xml:space="preserve"> in the Guidance document </w:t>
      </w:r>
      <w:r>
        <w:t>as follows</w:t>
      </w:r>
      <w:r w:rsidR="00CF343F">
        <w:t>:</w:t>
      </w:r>
    </w:p>
    <w:p w14:paraId="6C21DA86" w14:textId="75AF68B5" w:rsidR="00CF343F" w:rsidRPr="00CF343F" w:rsidRDefault="00CF343F" w:rsidP="00CF343F">
      <w:pPr>
        <w:pStyle w:val="ListParagraph"/>
        <w:numPr>
          <w:ilvl w:val="2"/>
          <w:numId w:val="1"/>
        </w:numPr>
        <w:rPr>
          <w:i/>
          <w:iCs/>
        </w:rPr>
      </w:pPr>
      <w:r w:rsidRPr="00CF343F">
        <w:rPr>
          <w:i/>
          <w:iCs/>
        </w:rPr>
        <w:t>“</w:t>
      </w:r>
      <w:r w:rsidRPr="00CF343F">
        <w:rPr>
          <w:i/>
          <w:iCs/>
        </w:rPr>
        <w:t xml:space="preserve">Review this guidance document and associated </w:t>
      </w:r>
      <w:proofErr w:type="gramStart"/>
      <w:r w:rsidRPr="00CF343F">
        <w:rPr>
          <w:i/>
          <w:iCs/>
        </w:rPr>
        <w:t>instructions</w:t>
      </w:r>
      <w:proofErr w:type="gramEnd"/>
    </w:p>
    <w:p w14:paraId="6891AAC7" w14:textId="43CB84E4" w:rsidR="00CF343F" w:rsidRPr="00CF343F" w:rsidRDefault="00CF343F" w:rsidP="00CF343F">
      <w:pPr>
        <w:pStyle w:val="ListParagraph"/>
        <w:numPr>
          <w:ilvl w:val="2"/>
          <w:numId w:val="1"/>
        </w:numPr>
        <w:rPr>
          <w:i/>
          <w:iCs/>
        </w:rPr>
      </w:pPr>
      <w:r w:rsidRPr="00CF343F">
        <w:rPr>
          <w:i/>
          <w:iCs/>
        </w:rPr>
        <w:t>Map Assumptions, Security Objections for the Operational Environment, and Organizational Security Policies to applicable authorization scheme(s) as a reference implementation (FedRamp, C5, etc)</w:t>
      </w:r>
    </w:p>
    <w:p w14:paraId="4F3943A1" w14:textId="2D01CD2C" w:rsidR="00CF343F" w:rsidRPr="00CF343F" w:rsidRDefault="00CF343F" w:rsidP="00CF343F">
      <w:pPr>
        <w:pStyle w:val="ListParagraph"/>
        <w:numPr>
          <w:ilvl w:val="2"/>
          <w:numId w:val="1"/>
        </w:numPr>
        <w:rPr>
          <w:i/>
          <w:iCs/>
        </w:rPr>
      </w:pPr>
      <w:r w:rsidRPr="00CF343F">
        <w:rPr>
          <w:i/>
          <w:iCs/>
        </w:rPr>
        <w:t xml:space="preserve">Summarize this mapping in generic language for wider Cloud Authorization adoption </w:t>
      </w:r>
      <w:proofErr w:type="gramStart"/>
      <w:r w:rsidRPr="00CF343F">
        <w:rPr>
          <w:i/>
          <w:iCs/>
        </w:rPr>
        <w:t>i.e.</w:t>
      </w:r>
      <w:proofErr w:type="gramEnd"/>
      <w:r w:rsidRPr="00CF343F">
        <w:rPr>
          <w:i/>
          <w:iCs/>
        </w:rPr>
        <w:t xml:space="preserve"> consideration in other authorization schemes</w:t>
      </w:r>
    </w:p>
    <w:p w14:paraId="6B0B40F4" w14:textId="461AE7BA" w:rsidR="00CF343F" w:rsidRPr="00CF343F" w:rsidRDefault="00CF343F" w:rsidP="00CF343F">
      <w:pPr>
        <w:pStyle w:val="ListParagraph"/>
        <w:numPr>
          <w:ilvl w:val="2"/>
          <w:numId w:val="1"/>
        </w:numPr>
        <w:rPr>
          <w:i/>
          <w:iCs/>
        </w:rPr>
      </w:pPr>
      <w:r w:rsidRPr="00CF343F">
        <w:rPr>
          <w:i/>
          <w:iCs/>
        </w:rPr>
        <w:t>Determine the extent to which SFRs and SARs in the PP can rely on the OE to be satisfied so that the extent to which the TSF may need to rely on cloud services can be determined.</w:t>
      </w:r>
    </w:p>
    <w:p w14:paraId="7047EFF0" w14:textId="56107904" w:rsidR="00CF343F" w:rsidRPr="00CF343F" w:rsidRDefault="00CF343F" w:rsidP="00CF343F">
      <w:pPr>
        <w:pStyle w:val="ListParagraph"/>
        <w:numPr>
          <w:ilvl w:val="2"/>
          <w:numId w:val="1"/>
        </w:numPr>
        <w:rPr>
          <w:i/>
          <w:iCs/>
        </w:rPr>
      </w:pPr>
      <w:r w:rsidRPr="00CF343F">
        <w:rPr>
          <w:i/>
          <w:iCs/>
        </w:rPr>
        <w:t xml:space="preserve">Identify SFR challenges in a cloud operational </w:t>
      </w:r>
      <w:proofErr w:type="gramStart"/>
      <w:r w:rsidRPr="00CF343F">
        <w:rPr>
          <w:i/>
          <w:iCs/>
        </w:rPr>
        <w:t>environment</w:t>
      </w:r>
      <w:proofErr w:type="gramEnd"/>
    </w:p>
    <w:p w14:paraId="51BFFB37" w14:textId="69E0DC7D" w:rsidR="00CF343F" w:rsidRPr="00CF343F" w:rsidRDefault="00CF343F" w:rsidP="00CF343F">
      <w:pPr>
        <w:pStyle w:val="ListParagraph"/>
        <w:numPr>
          <w:ilvl w:val="2"/>
          <w:numId w:val="1"/>
        </w:numPr>
        <w:rPr>
          <w:i/>
          <w:iCs/>
        </w:rPr>
      </w:pPr>
      <w:r w:rsidRPr="00CF343F">
        <w:rPr>
          <w:i/>
          <w:iCs/>
        </w:rPr>
        <w:t xml:space="preserve">For </w:t>
      </w:r>
      <w:proofErr w:type="gramStart"/>
      <w:r w:rsidRPr="00CF343F">
        <w:rPr>
          <w:i/>
          <w:iCs/>
        </w:rPr>
        <w:t>example</w:t>
      </w:r>
      <w:proofErr w:type="gramEnd"/>
      <w:r w:rsidRPr="00CF343F">
        <w:rPr>
          <w:i/>
          <w:iCs/>
        </w:rPr>
        <w:t xml:space="preserve"> certain requirements collecting test evidence may be complicated by the cloud operational environment and may not be directly accessible due to cloud isolation.</w:t>
      </w:r>
    </w:p>
    <w:p w14:paraId="44FFCFD0" w14:textId="4811B4B9" w:rsidR="00CF343F" w:rsidRPr="00CF343F" w:rsidRDefault="00CF343F" w:rsidP="00CF343F">
      <w:pPr>
        <w:pStyle w:val="ListParagraph"/>
        <w:numPr>
          <w:ilvl w:val="2"/>
          <w:numId w:val="1"/>
        </w:numPr>
        <w:rPr>
          <w:i/>
          <w:iCs/>
        </w:rPr>
      </w:pPr>
      <w:r w:rsidRPr="00CF343F">
        <w:rPr>
          <w:i/>
          <w:iCs/>
        </w:rPr>
        <w:t>Many TOEs that will operate in a cloud environment will utilize object storage as provided by the CSP. These objects will often be encrypted either by the TOE itself or by the CSP. For instances in which the CSP is providing encryption of the storage object, it is expected that the TOE vendor or evaluator will not be able to perform assurance activity tests with regards to Key Destruction. PP authors will be expected to make modifications to related SFRs to allow for CSP Key Destruction or Zeroization as additional selections.</w:t>
      </w:r>
    </w:p>
    <w:p w14:paraId="7DC96A79" w14:textId="72815E77" w:rsidR="00CF343F" w:rsidRPr="00CF343F" w:rsidRDefault="00CF343F" w:rsidP="00CF343F">
      <w:pPr>
        <w:pStyle w:val="ListParagraph"/>
        <w:numPr>
          <w:ilvl w:val="2"/>
          <w:numId w:val="1"/>
        </w:numPr>
        <w:rPr>
          <w:i/>
          <w:iCs/>
        </w:rPr>
      </w:pPr>
      <w:r w:rsidRPr="00CF343F">
        <w:rPr>
          <w:i/>
          <w:iCs/>
        </w:rPr>
        <w:t>Such modifications may be made by iterating the underlying SFR in a base PP into a "Cloud" PP module which provides the cloud-specific selections and assurance activities.</w:t>
      </w:r>
    </w:p>
    <w:p w14:paraId="1FF734AD" w14:textId="77F624AE" w:rsidR="00CF343F" w:rsidRPr="00CF343F" w:rsidRDefault="00CF343F" w:rsidP="00CF343F">
      <w:pPr>
        <w:pStyle w:val="ListParagraph"/>
        <w:numPr>
          <w:ilvl w:val="2"/>
          <w:numId w:val="1"/>
        </w:numPr>
        <w:rPr>
          <w:i/>
          <w:iCs/>
        </w:rPr>
      </w:pPr>
      <w:r w:rsidRPr="00CF343F">
        <w:rPr>
          <w:i/>
          <w:iCs/>
        </w:rPr>
        <w:t xml:space="preserve">Identify SAR challenges with either new/updated SAR’s and/or determine if </w:t>
      </w:r>
      <w:proofErr w:type="gramStart"/>
      <w:r w:rsidRPr="00CF343F">
        <w:rPr>
          <w:i/>
          <w:iCs/>
        </w:rPr>
        <w:t>applicable</w:t>
      </w:r>
      <w:proofErr w:type="gramEnd"/>
    </w:p>
    <w:p w14:paraId="1DF22C92" w14:textId="0118F2FA" w:rsidR="00CF343F" w:rsidRPr="00CF343F" w:rsidRDefault="00CF343F" w:rsidP="00CF343F">
      <w:pPr>
        <w:pStyle w:val="ListParagraph"/>
        <w:numPr>
          <w:ilvl w:val="2"/>
          <w:numId w:val="1"/>
        </w:numPr>
        <w:rPr>
          <w:i/>
          <w:iCs/>
        </w:rPr>
      </w:pPr>
      <w:r w:rsidRPr="00CF343F">
        <w:rPr>
          <w:i/>
          <w:iCs/>
        </w:rPr>
        <w:t xml:space="preserve">For </w:t>
      </w:r>
      <w:proofErr w:type="gramStart"/>
      <w:r w:rsidRPr="00CF343F">
        <w:rPr>
          <w:i/>
          <w:iCs/>
        </w:rPr>
        <w:t>example</w:t>
      </w:r>
      <w:proofErr w:type="gramEnd"/>
      <w:r w:rsidRPr="00CF343F">
        <w:rPr>
          <w:i/>
          <w:iCs/>
        </w:rPr>
        <w:t xml:space="preserve"> AVA may have different considerations for a cloud operating environment depending on the TOE or PP. See Vulnerability Assessment Methodology for more information.</w:t>
      </w:r>
    </w:p>
    <w:p w14:paraId="3E6D99E7" w14:textId="6251B054" w:rsidR="00CF343F" w:rsidRPr="00CF343F" w:rsidRDefault="00CF343F" w:rsidP="00CF343F">
      <w:pPr>
        <w:pStyle w:val="ListParagraph"/>
        <w:numPr>
          <w:ilvl w:val="2"/>
          <w:numId w:val="1"/>
        </w:numPr>
        <w:rPr>
          <w:i/>
          <w:iCs/>
        </w:rPr>
      </w:pPr>
      <w:r w:rsidRPr="00CF343F">
        <w:rPr>
          <w:i/>
          <w:iCs/>
        </w:rPr>
        <w:lastRenderedPageBreak/>
        <w:t xml:space="preserve">Edit cPP/PP and add new optional or selection based SFRs/SARs for cloud </w:t>
      </w:r>
      <w:proofErr w:type="gramStart"/>
      <w:r w:rsidRPr="00CF343F">
        <w:rPr>
          <w:i/>
          <w:iCs/>
        </w:rPr>
        <w:t>evaluations</w:t>
      </w:r>
      <w:proofErr w:type="gramEnd"/>
    </w:p>
    <w:p w14:paraId="1E19A8DF" w14:textId="10ADEB0A" w:rsidR="00CF343F" w:rsidRDefault="00CF343F" w:rsidP="00CF343F">
      <w:pPr>
        <w:pStyle w:val="ListParagraph"/>
        <w:numPr>
          <w:ilvl w:val="2"/>
          <w:numId w:val="1"/>
        </w:numPr>
        <w:rPr>
          <w:i/>
          <w:iCs/>
        </w:rPr>
      </w:pPr>
      <w:r w:rsidRPr="00CF343F">
        <w:rPr>
          <w:i/>
          <w:iCs/>
        </w:rPr>
        <w:t>Update cPPs supporting documents with new cloud requirements and applicable assurance activities.</w:t>
      </w:r>
      <w:r w:rsidRPr="00CF343F">
        <w:rPr>
          <w:i/>
          <w:iCs/>
        </w:rPr>
        <w:t>”</w:t>
      </w:r>
    </w:p>
    <w:p w14:paraId="2E35FB19" w14:textId="77777777" w:rsidR="00CF343F" w:rsidRPr="00CF343F" w:rsidRDefault="00CF343F" w:rsidP="00CF343F">
      <w:pPr>
        <w:pStyle w:val="ListParagraph"/>
        <w:ind w:left="2160"/>
        <w:rPr>
          <w:i/>
          <w:iCs/>
        </w:rPr>
      </w:pPr>
    </w:p>
    <w:p w14:paraId="16144F03" w14:textId="6D559950" w:rsidR="00847461" w:rsidRDefault="00847461" w:rsidP="00847461">
      <w:pPr>
        <w:pStyle w:val="ListParagraph"/>
        <w:numPr>
          <w:ilvl w:val="1"/>
          <w:numId w:val="1"/>
        </w:numPr>
      </w:pPr>
      <w:r>
        <w:t xml:space="preserve">Discussion around Key destruction requirements and how they would pertain to cloud environments. For example, in PPs if there is a key generation SFR, there is usually an associated SFR for key destruction when keys are no longer needed. </w:t>
      </w:r>
    </w:p>
    <w:p w14:paraId="4E92593E" w14:textId="77777777" w:rsidR="00CF343F" w:rsidRDefault="00CF343F" w:rsidP="00CF343F">
      <w:pPr>
        <w:pStyle w:val="ListParagraph"/>
        <w:ind w:left="1440"/>
      </w:pPr>
    </w:p>
    <w:p w14:paraId="61CDBAD8" w14:textId="3452874A" w:rsidR="008E169D" w:rsidRDefault="008E169D" w:rsidP="008E169D">
      <w:pPr>
        <w:pStyle w:val="ListParagraph"/>
        <w:numPr>
          <w:ilvl w:val="0"/>
          <w:numId w:val="1"/>
        </w:numPr>
      </w:pPr>
      <w:r>
        <w:t xml:space="preserve">Modified the “Vulnerability Assessment Methodology” section </w:t>
      </w:r>
      <w:r w:rsidR="00CF343F">
        <w:t xml:space="preserve">in the Guidance document </w:t>
      </w:r>
      <w:r>
        <w:t>as follows</w:t>
      </w:r>
      <w:r w:rsidR="00CF343F">
        <w:t>:</w:t>
      </w:r>
    </w:p>
    <w:p w14:paraId="3080A2D7" w14:textId="69C99DFC" w:rsidR="00CF343F" w:rsidRPr="00CF343F" w:rsidRDefault="00CF343F" w:rsidP="00CF343F">
      <w:pPr>
        <w:pStyle w:val="ListParagraph"/>
        <w:numPr>
          <w:ilvl w:val="2"/>
          <w:numId w:val="1"/>
        </w:numPr>
        <w:rPr>
          <w:i/>
          <w:iCs/>
        </w:rPr>
      </w:pPr>
      <w:r w:rsidRPr="00CF343F">
        <w:rPr>
          <w:i/>
          <w:iCs/>
        </w:rPr>
        <w:t>“</w:t>
      </w:r>
      <w:r w:rsidRPr="00CF343F">
        <w:rPr>
          <w:i/>
          <w:iCs/>
        </w:rPr>
        <w:t>In general, the AVA methodology shall be sufficient for most TOE types. However, certain edge cases may present themselves.</w:t>
      </w:r>
    </w:p>
    <w:p w14:paraId="1316EE92" w14:textId="77777777" w:rsidR="00CF343F" w:rsidRPr="00CF343F" w:rsidRDefault="00CF343F" w:rsidP="00CF343F">
      <w:pPr>
        <w:pStyle w:val="ListParagraph"/>
        <w:ind w:left="2160"/>
        <w:rPr>
          <w:i/>
          <w:iCs/>
        </w:rPr>
      </w:pPr>
    </w:p>
    <w:p w14:paraId="12653A7B" w14:textId="5CD283CB" w:rsidR="00CF343F" w:rsidRPr="00CF343F" w:rsidRDefault="00CF343F" w:rsidP="00CF343F">
      <w:pPr>
        <w:pStyle w:val="ListParagraph"/>
        <w:ind w:left="2160"/>
        <w:rPr>
          <w:i/>
          <w:iCs/>
        </w:rPr>
      </w:pPr>
      <w:r w:rsidRPr="00CF343F">
        <w:rPr>
          <w:i/>
          <w:iCs/>
        </w:rPr>
        <w:t>As we have introduced a trusted platform concept, underlying vulnerabilities in the cloud operating environment can be treated as they are in traditional OE analysis.</w:t>
      </w:r>
    </w:p>
    <w:p w14:paraId="19478E9F" w14:textId="77777777" w:rsidR="00CF343F" w:rsidRPr="00CF343F" w:rsidRDefault="00CF343F" w:rsidP="00CF343F">
      <w:pPr>
        <w:pStyle w:val="ListParagraph"/>
        <w:ind w:left="2160"/>
        <w:rPr>
          <w:i/>
          <w:iCs/>
        </w:rPr>
      </w:pPr>
    </w:p>
    <w:p w14:paraId="05EA567C" w14:textId="46615BE2" w:rsidR="00CF343F" w:rsidRDefault="00CF343F" w:rsidP="00CF343F">
      <w:pPr>
        <w:pStyle w:val="ListParagraph"/>
        <w:ind w:left="2160"/>
        <w:rPr>
          <w:i/>
          <w:iCs/>
        </w:rPr>
      </w:pPr>
      <w:r w:rsidRPr="00CF343F">
        <w:rPr>
          <w:i/>
          <w:iCs/>
        </w:rPr>
        <w:t xml:space="preserve">However, when applicable vulnerabilities are discovered or suspected </w:t>
      </w:r>
      <w:proofErr w:type="gramStart"/>
      <w:r w:rsidRPr="00CF343F">
        <w:rPr>
          <w:i/>
          <w:iCs/>
        </w:rPr>
        <w:t>for</w:t>
      </w:r>
      <w:proofErr w:type="gramEnd"/>
      <w:r w:rsidRPr="00CF343F">
        <w:rPr>
          <w:i/>
          <w:iCs/>
        </w:rPr>
        <w:t xml:space="preserve"> TOEs operating in a cloud environment the means in which evaluators are expected to shift negative test coverage must utilize cloud attack vectors. </w:t>
      </w:r>
      <w:proofErr w:type="gramStart"/>
      <w:r w:rsidRPr="00CF343F">
        <w:rPr>
          <w:i/>
          <w:iCs/>
        </w:rPr>
        <w:t>I.e.</w:t>
      </w:r>
      <w:proofErr w:type="gramEnd"/>
      <w:r w:rsidRPr="00CF343F">
        <w:rPr>
          <w:i/>
          <w:iCs/>
        </w:rPr>
        <w:t xml:space="preserve"> service portal, management plane, etc.</w:t>
      </w:r>
      <w:r w:rsidRPr="00CF343F">
        <w:rPr>
          <w:i/>
          <w:iCs/>
        </w:rPr>
        <w:t xml:space="preserve"> “</w:t>
      </w:r>
    </w:p>
    <w:p w14:paraId="6E466FB0" w14:textId="77777777" w:rsidR="00CF343F" w:rsidRDefault="00CF343F" w:rsidP="00CF343F">
      <w:pPr>
        <w:pStyle w:val="ListParagraph"/>
        <w:ind w:left="2160"/>
        <w:rPr>
          <w:i/>
          <w:iCs/>
        </w:rPr>
      </w:pPr>
    </w:p>
    <w:p w14:paraId="37597A1C" w14:textId="25519F50" w:rsidR="00A43FD7" w:rsidRDefault="00A43FD7" w:rsidP="00CF343F">
      <w:pPr>
        <w:pStyle w:val="ListParagraph"/>
        <w:numPr>
          <w:ilvl w:val="1"/>
          <w:numId w:val="1"/>
        </w:numPr>
      </w:pPr>
      <w:r>
        <w:t xml:space="preserve">Discussion on how vulnerability assessment might be different on different cloud deployments vs on prem. </w:t>
      </w:r>
    </w:p>
    <w:p w14:paraId="32DB2C20" w14:textId="77777777" w:rsidR="00CF343F" w:rsidRDefault="00CF343F" w:rsidP="00CF343F">
      <w:pPr>
        <w:pStyle w:val="ListParagraph"/>
        <w:ind w:left="1440"/>
      </w:pPr>
    </w:p>
    <w:p w14:paraId="63FBAAD5" w14:textId="03372102" w:rsidR="00A43FD7" w:rsidRDefault="00E75B46" w:rsidP="00E75B46">
      <w:pPr>
        <w:pStyle w:val="ListParagraph"/>
        <w:numPr>
          <w:ilvl w:val="0"/>
          <w:numId w:val="1"/>
        </w:numPr>
      </w:pPr>
      <w:r>
        <w:t>“OWASP Cloud Top 10” Sections removed since we no longer are including it in this guidance document</w:t>
      </w:r>
      <w:r w:rsidR="00F26BE2">
        <w:t>.</w:t>
      </w:r>
    </w:p>
    <w:p w14:paraId="1AB90BF4" w14:textId="77777777" w:rsidR="00271127" w:rsidRDefault="00271127" w:rsidP="00271127"/>
    <w:p w14:paraId="25F35844" w14:textId="69213FB8" w:rsidR="00246211" w:rsidRDefault="00271127" w:rsidP="00271127">
      <w:pPr>
        <w:rPr>
          <w:b/>
          <w:bCs/>
        </w:rPr>
      </w:pPr>
      <w:r w:rsidRPr="008013C3">
        <w:rPr>
          <w:b/>
          <w:bCs/>
        </w:rPr>
        <w:t>Questions/Follow-ups:</w:t>
      </w:r>
    </w:p>
    <w:p w14:paraId="1B3DD75A" w14:textId="1D389328" w:rsidR="008013C3" w:rsidRDefault="00CF343F" w:rsidP="00271127">
      <w:pPr>
        <w:rPr>
          <w:b/>
          <w:bCs/>
        </w:rPr>
      </w:pPr>
      <w:r>
        <w:rPr>
          <w:b/>
          <w:bCs/>
        </w:rPr>
        <w:t>~</w:t>
      </w:r>
    </w:p>
    <w:p w14:paraId="4DB7495C" w14:textId="0B8627F7" w:rsidR="008013C3" w:rsidRDefault="008013C3" w:rsidP="00271127">
      <w:pPr>
        <w:rPr>
          <w:b/>
          <w:bCs/>
        </w:rPr>
      </w:pPr>
    </w:p>
    <w:p w14:paraId="34B7E488" w14:textId="0DC6F8EC" w:rsidR="008013C3" w:rsidRDefault="008013C3" w:rsidP="00271127">
      <w:pPr>
        <w:rPr>
          <w:b/>
          <w:bCs/>
        </w:rPr>
      </w:pPr>
    </w:p>
    <w:p w14:paraId="2F1F662C" w14:textId="153A9CF9" w:rsidR="008013C3" w:rsidRPr="00527B24" w:rsidRDefault="008013C3" w:rsidP="008013C3">
      <w:pPr>
        <w:rPr>
          <w:b/>
          <w:bCs/>
          <w:i/>
          <w:iCs/>
        </w:rPr>
      </w:pPr>
      <w:r w:rsidRPr="00984FD5">
        <w:rPr>
          <w:b/>
          <w:bCs/>
          <w:i/>
          <w:iCs/>
        </w:rPr>
        <w:t>End of Meeting – Adjourned 0</w:t>
      </w:r>
      <w:r>
        <w:rPr>
          <w:b/>
          <w:bCs/>
          <w:i/>
          <w:iCs/>
        </w:rPr>
        <w:t>85</w:t>
      </w:r>
      <w:r w:rsidR="00AB4F10">
        <w:rPr>
          <w:b/>
          <w:bCs/>
          <w:i/>
          <w:iCs/>
        </w:rPr>
        <w:t>5</w:t>
      </w:r>
      <w:r w:rsidRPr="00984FD5">
        <w:rPr>
          <w:b/>
          <w:bCs/>
          <w:i/>
          <w:iCs/>
        </w:rPr>
        <w:t xml:space="preserve"> P</w:t>
      </w:r>
      <w:r w:rsidR="00DD152D">
        <w:rPr>
          <w:b/>
          <w:bCs/>
          <w:i/>
          <w:iCs/>
        </w:rPr>
        <w:t>D</w:t>
      </w:r>
      <w:r w:rsidRPr="00984FD5">
        <w:rPr>
          <w:b/>
          <w:bCs/>
          <w:i/>
          <w:iCs/>
        </w:rPr>
        <w:t>T</w:t>
      </w:r>
    </w:p>
    <w:p w14:paraId="4D116368" w14:textId="77777777" w:rsidR="008013C3" w:rsidRPr="008013C3" w:rsidRDefault="008013C3" w:rsidP="00271127">
      <w:pPr>
        <w:rPr>
          <w:b/>
          <w:bCs/>
        </w:rPr>
      </w:pPr>
    </w:p>
    <w:sectPr w:rsidR="008013C3" w:rsidRPr="00801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23A5D"/>
    <w:multiLevelType w:val="hybridMultilevel"/>
    <w:tmpl w:val="F6BE7C5C"/>
    <w:lvl w:ilvl="0" w:tplc="8F9A9886">
      <w:start w:val="7"/>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36375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7"/>
    <w:rsid w:val="001714E6"/>
    <w:rsid w:val="00246211"/>
    <w:rsid w:val="00271127"/>
    <w:rsid w:val="00341748"/>
    <w:rsid w:val="006B15D8"/>
    <w:rsid w:val="006E7BE2"/>
    <w:rsid w:val="008013C3"/>
    <w:rsid w:val="00847461"/>
    <w:rsid w:val="008E169D"/>
    <w:rsid w:val="00A43FD7"/>
    <w:rsid w:val="00AB4F10"/>
    <w:rsid w:val="00CC1EC0"/>
    <w:rsid w:val="00CF343F"/>
    <w:rsid w:val="00DD152D"/>
    <w:rsid w:val="00E75B46"/>
    <w:rsid w:val="00F26B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0C31"/>
  <w15:chartTrackingRefBased/>
  <w15:docId w15:val="{5ED40A5E-E100-4470-8828-487F258C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930853">
      <w:bodyDiv w:val="1"/>
      <w:marLeft w:val="0"/>
      <w:marRight w:val="0"/>
      <w:marTop w:val="0"/>
      <w:marBottom w:val="0"/>
      <w:divBdr>
        <w:top w:val="none" w:sz="0" w:space="0" w:color="auto"/>
        <w:left w:val="none" w:sz="0" w:space="0" w:color="auto"/>
        <w:bottom w:val="none" w:sz="0" w:space="0" w:color="auto"/>
        <w:right w:val="none" w:sz="0" w:space="0" w:color="auto"/>
      </w:divBdr>
      <w:divsChild>
        <w:div w:id="1263148288">
          <w:marLeft w:val="0"/>
          <w:marRight w:val="0"/>
          <w:marTop w:val="0"/>
          <w:marBottom w:val="0"/>
          <w:divBdr>
            <w:top w:val="none" w:sz="0" w:space="0" w:color="auto"/>
            <w:left w:val="none" w:sz="0" w:space="0" w:color="auto"/>
            <w:bottom w:val="none" w:sz="0" w:space="0" w:color="auto"/>
            <w:right w:val="none" w:sz="0" w:space="0" w:color="auto"/>
          </w:divBdr>
          <w:divsChild>
            <w:div w:id="1443307531">
              <w:marLeft w:val="0"/>
              <w:marRight w:val="0"/>
              <w:marTop w:val="0"/>
              <w:marBottom w:val="0"/>
              <w:divBdr>
                <w:top w:val="none" w:sz="0" w:space="0" w:color="auto"/>
                <w:left w:val="none" w:sz="0" w:space="0" w:color="auto"/>
                <w:bottom w:val="none" w:sz="0" w:space="0" w:color="auto"/>
                <w:right w:val="none" w:sz="0" w:space="0" w:color="auto"/>
              </w:divBdr>
              <w:divsChild>
                <w:div w:id="270206371">
                  <w:marLeft w:val="0"/>
                  <w:marRight w:val="0"/>
                  <w:marTop w:val="0"/>
                  <w:marBottom w:val="0"/>
                  <w:divBdr>
                    <w:top w:val="none" w:sz="0" w:space="0" w:color="auto"/>
                    <w:left w:val="none" w:sz="0" w:space="0" w:color="auto"/>
                    <w:bottom w:val="none" w:sz="0" w:space="0" w:color="auto"/>
                    <w:right w:val="none" w:sz="0" w:space="0" w:color="auto"/>
                  </w:divBdr>
                </w:div>
                <w:div w:id="1482383645">
                  <w:marLeft w:val="0"/>
                  <w:marRight w:val="0"/>
                  <w:marTop w:val="0"/>
                  <w:marBottom w:val="0"/>
                  <w:divBdr>
                    <w:top w:val="none" w:sz="0" w:space="0" w:color="auto"/>
                    <w:left w:val="none" w:sz="0" w:space="0" w:color="auto"/>
                    <w:bottom w:val="none" w:sz="0" w:space="0" w:color="auto"/>
                    <w:right w:val="none" w:sz="0" w:space="0" w:color="auto"/>
                  </w:divBdr>
                  <w:divsChild>
                    <w:div w:id="1021052987">
                      <w:marLeft w:val="0"/>
                      <w:marRight w:val="0"/>
                      <w:marTop w:val="0"/>
                      <w:marBottom w:val="0"/>
                      <w:divBdr>
                        <w:top w:val="none" w:sz="0" w:space="0" w:color="auto"/>
                        <w:left w:val="none" w:sz="0" w:space="0" w:color="auto"/>
                        <w:bottom w:val="none" w:sz="0" w:space="0" w:color="auto"/>
                        <w:right w:val="none" w:sz="0" w:space="0" w:color="auto"/>
                      </w:divBdr>
                    </w:div>
                  </w:divsChild>
                </w:div>
                <w:div w:id="7157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493</Words>
  <Characters>2915</Characters>
  <Application>Microsoft Office Word</Application>
  <DocSecurity>0</DocSecurity>
  <Lines>112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Nickel</dc:creator>
  <cp:keywords/>
  <dc:description/>
  <cp:lastModifiedBy>Garrett Nickel</cp:lastModifiedBy>
  <cp:revision>17</cp:revision>
  <dcterms:created xsi:type="dcterms:W3CDTF">2022-06-08T18:04:00Z</dcterms:created>
  <dcterms:modified xsi:type="dcterms:W3CDTF">2023-04-26T17:24:00Z</dcterms:modified>
</cp:coreProperties>
</file>