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A401BE" w14:textId="5FBE359C" w:rsidR="00271127" w:rsidRDefault="004D3101" w:rsidP="00271127">
      <w:r w:rsidRPr="004D3101">
        <w:t xml:space="preserve">7:54 AM </w:t>
      </w:r>
      <w:r>
        <w:t xml:space="preserve">PDT </w:t>
      </w:r>
      <w:r w:rsidRPr="004D3101">
        <w:t>2023-05-24</w:t>
      </w:r>
    </w:p>
    <w:p w14:paraId="0CE3C944" w14:textId="77777777" w:rsidR="00271127" w:rsidRDefault="00271127" w:rsidP="00271127"/>
    <w:p w14:paraId="19ACF745" w14:textId="50FAB245" w:rsidR="00271127" w:rsidRDefault="00271127" w:rsidP="008013C3">
      <w:pPr>
        <w:spacing w:after="0" w:line="240" w:lineRule="auto"/>
      </w:pPr>
      <w:r w:rsidRPr="008013C3">
        <w:rPr>
          <w:b/>
          <w:bCs/>
        </w:rPr>
        <w:t>Call to Order:</w:t>
      </w:r>
      <w:r>
        <w:tab/>
      </w:r>
      <w:r w:rsidR="008013C3">
        <w:tab/>
      </w:r>
      <w:r>
        <w:t>080</w:t>
      </w:r>
      <w:r w:rsidR="00FD696B">
        <w:t>2</w:t>
      </w:r>
      <w:r>
        <w:t xml:space="preserve"> </w:t>
      </w:r>
    </w:p>
    <w:p w14:paraId="1B96C312" w14:textId="133AE859" w:rsidR="00271127" w:rsidRDefault="00271127" w:rsidP="008013C3">
      <w:pPr>
        <w:spacing w:after="0" w:line="240" w:lineRule="auto"/>
      </w:pPr>
      <w:r w:rsidRPr="008013C3">
        <w:rPr>
          <w:b/>
          <w:bCs/>
        </w:rPr>
        <w:t>Meeting Lead:</w:t>
      </w:r>
      <w:r>
        <w:tab/>
      </w:r>
      <w:r w:rsidR="008013C3">
        <w:tab/>
      </w:r>
      <w:r>
        <w:t>Joshua BRICKMAN</w:t>
      </w:r>
    </w:p>
    <w:p w14:paraId="31AE9F9F" w14:textId="0B6CCCFF" w:rsidR="00271127" w:rsidRDefault="00271127" w:rsidP="008013C3">
      <w:pPr>
        <w:spacing w:after="0" w:line="240" w:lineRule="auto"/>
      </w:pPr>
      <w:r w:rsidRPr="008013C3">
        <w:rPr>
          <w:b/>
          <w:bCs/>
        </w:rPr>
        <w:t>Attendees:</w:t>
      </w:r>
      <w:r>
        <w:tab/>
      </w:r>
      <w:r w:rsidR="008013C3">
        <w:tab/>
      </w:r>
      <w:r w:rsidR="00DC1885">
        <w:t>18</w:t>
      </w:r>
    </w:p>
    <w:p w14:paraId="6F04D73C" w14:textId="557F5B3E" w:rsidR="008013C3" w:rsidRDefault="008013C3" w:rsidP="008013C3">
      <w:pPr>
        <w:spacing w:after="0" w:line="240" w:lineRule="auto"/>
      </w:pPr>
      <w:r w:rsidRPr="008013C3">
        <w:rPr>
          <w:b/>
          <w:bCs/>
        </w:rPr>
        <w:t>Member Count:</w:t>
      </w:r>
      <w:r>
        <w:tab/>
      </w:r>
      <w:r w:rsidR="004D3101">
        <w:t>70</w:t>
      </w:r>
    </w:p>
    <w:p w14:paraId="50CB3647" w14:textId="0875890D" w:rsidR="008013C3" w:rsidRDefault="008013C3" w:rsidP="008013C3">
      <w:pPr>
        <w:spacing w:after="0" w:line="240" w:lineRule="auto"/>
      </w:pPr>
      <w:r w:rsidRPr="008013C3">
        <w:rPr>
          <w:b/>
          <w:bCs/>
        </w:rPr>
        <w:t>Next Meeting:</w:t>
      </w:r>
      <w:r>
        <w:t xml:space="preserve"> </w:t>
      </w:r>
      <w:r>
        <w:tab/>
      </w:r>
      <w:r>
        <w:tab/>
      </w:r>
      <w:r w:rsidR="004D3101">
        <w:t>Wednesday May 31</w:t>
      </w:r>
      <w:r w:rsidR="004D3101" w:rsidRPr="004D3101">
        <w:rPr>
          <w:vertAlign w:val="superscript"/>
        </w:rPr>
        <w:t>st</w:t>
      </w:r>
      <w:r w:rsidR="004D3101">
        <w:t>, 2023</w:t>
      </w:r>
    </w:p>
    <w:p w14:paraId="132E58A1" w14:textId="77777777" w:rsidR="00271127" w:rsidRDefault="00271127" w:rsidP="00271127"/>
    <w:p w14:paraId="740AD600" w14:textId="77777777" w:rsidR="00271127" w:rsidRPr="008013C3" w:rsidRDefault="00271127" w:rsidP="00271127">
      <w:pPr>
        <w:rPr>
          <w:b/>
          <w:bCs/>
        </w:rPr>
      </w:pPr>
      <w:r w:rsidRPr="008013C3">
        <w:rPr>
          <w:b/>
          <w:bCs/>
        </w:rPr>
        <w:t>Highlights:</w:t>
      </w:r>
    </w:p>
    <w:p w14:paraId="5EC0C312" w14:textId="359EB5CE" w:rsidR="00271127" w:rsidRDefault="0011217B" w:rsidP="00271127">
      <w:r>
        <w:t>~</w:t>
      </w:r>
    </w:p>
    <w:p w14:paraId="74432A98" w14:textId="77777777" w:rsidR="00271127" w:rsidRPr="008013C3" w:rsidRDefault="00271127" w:rsidP="00271127">
      <w:pPr>
        <w:rPr>
          <w:b/>
          <w:bCs/>
        </w:rPr>
      </w:pPr>
      <w:r w:rsidRPr="008013C3">
        <w:rPr>
          <w:b/>
          <w:bCs/>
        </w:rPr>
        <w:t>Old Business:</w:t>
      </w:r>
    </w:p>
    <w:p w14:paraId="778D3235" w14:textId="436863A1" w:rsidR="00271127" w:rsidRDefault="0011217B" w:rsidP="00271127">
      <w:r>
        <w:t>~</w:t>
      </w:r>
    </w:p>
    <w:p w14:paraId="7ECC17EE" w14:textId="77777777" w:rsidR="00271127" w:rsidRPr="008013C3" w:rsidRDefault="00271127" w:rsidP="00271127">
      <w:pPr>
        <w:rPr>
          <w:b/>
          <w:bCs/>
        </w:rPr>
      </w:pPr>
      <w:r w:rsidRPr="008013C3">
        <w:rPr>
          <w:b/>
          <w:bCs/>
        </w:rPr>
        <w:t>New Business:</w:t>
      </w:r>
    </w:p>
    <w:p w14:paraId="76BF0F40" w14:textId="59DD2A09" w:rsidR="00271127" w:rsidRDefault="00DC1885" w:rsidP="00DC1885">
      <w:pPr>
        <w:pStyle w:val="ListParagraph"/>
        <w:numPr>
          <w:ilvl w:val="0"/>
          <w:numId w:val="1"/>
        </w:numPr>
      </w:pPr>
      <w:r>
        <w:t>Continued addressing outstanding issues on GitHub</w:t>
      </w:r>
    </w:p>
    <w:p w14:paraId="387BF8F2" w14:textId="77AD5EBD" w:rsidR="00DC1885" w:rsidRDefault="00DC1885" w:rsidP="00DC1885">
      <w:pPr>
        <w:pStyle w:val="ListParagraph"/>
        <w:numPr>
          <w:ilvl w:val="1"/>
          <w:numId w:val="1"/>
        </w:numPr>
      </w:pPr>
      <w:r>
        <w:t>Reviewed Issue #</w:t>
      </w:r>
      <w:r w:rsidR="00996BC8">
        <w:t xml:space="preserve">33 – </w:t>
      </w:r>
      <w:r w:rsidR="00FC4D69">
        <w:t>‘</w:t>
      </w:r>
      <w:r w:rsidR="00996BC8">
        <w:t>Defin</w:t>
      </w:r>
      <w:r w:rsidR="00FC4D69">
        <w:t>e</w:t>
      </w:r>
      <w:r w:rsidR="00996BC8">
        <w:t xml:space="preserve"> Trusted Provider</w:t>
      </w:r>
      <w:r w:rsidR="00FC4D69">
        <w:t>’</w:t>
      </w:r>
    </w:p>
    <w:p w14:paraId="784400EF" w14:textId="2DA9B387" w:rsidR="00996BC8" w:rsidRDefault="00996BC8" w:rsidP="00996BC8">
      <w:pPr>
        <w:pStyle w:val="ListParagraph"/>
        <w:numPr>
          <w:ilvl w:val="2"/>
          <w:numId w:val="1"/>
        </w:numPr>
      </w:pPr>
      <w:r>
        <w:t>This term is not used in the guidance document, therefore no definition required at this time</w:t>
      </w:r>
      <w:r w:rsidR="00FC4D69">
        <w:t>.</w:t>
      </w:r>
      <w:r>
        <w:t xml:space="preserve"> </w:t>
      </w:r>
      <w:r w:rsidR="00FC4D69">
        <w:t>H</w:t>
      </w:r>
      <w:r>
        <w:t>owever</w:t>
      </w:r>
      <w:r w:rsidR="00FC4D69">
        <w:t>, this concept</w:t>
      </w:r>
      <w:r>
        <w:t xml:space="preserve"> may be revisited in the future if the need arises.</w:t>
      </w:r>
    </w:p>
    <w:p w14:paraId="686D3B46" w14:textId="2B6ECBD4" w:rsidR="00996BC8" w:rsidRDefault="00996BC8" w:rsidP="00996BC8">
      <w:pPr>
        <w:pStyle w:val="ListParagraph"/>
        <w:numPr>
          <w:ilvl w:val="2"/>
          <w:numId w:val="1"/>
        </w:numPr>
      </w:pPr>
      <w:r>
        <w:t>This issue is now closed.</w:t>
      </w:r>
    </w:p>
    <w:p w14:paraId="1769F06A" w14:textId="7FC29815" w:rsidR="00996BC8" w:rsidRDefault="00996BC8" w:rsidP="00996BC8">
      <w:pPr>
        <w:pStyle w:val="ListParagraph"/>
        <w:numPr>
          <w:ilvl w:val="1"/>
          <w:numId w:val="1"/>
        </w:numPr>
      </w:pPr>
      <w:r>
        <w:t xml:space="preserve">Reviewed Issue #34 </w:t>
      </w:r>
      <w:r w:rsidR="00A81C2F">
        <w:t>–</w:t>
      </w:r>
      <w:r>
        <w:t xml:space="preserve"> </w:t>
      </w:r>
      <w:r w:rsidR="00A81C2F">
        <w:t>‘</w:t>
      </w:r>
      <w:r>
        <w:t>Trusted Provider</w:t>
      </w:r>
      <w:r w:rsidR="00A81C2F">
        <w:t>—</w:t>
      </w:r>
      <w:r>
        <w:t>CAVP</w:t>
      </w:r>
      <w:r w:rsidR="00A81C2F">
        <w:t>’</w:t>
      </w:r>
    </w:p>
    <w:p w14:paraId="3FCECCE0" w14:textId="61E8909E" w:rsidR="00996BC8" w:rsidRDefault="00996BC8" w:rsidP="00996BC8">
      <w:pPr>
        <w:pStyle w:val="ListParagraph"/>
        <w:numPr>
          <w:ilvl w:val="2"/>
          <w:numId w:val="1"/>
        </w:numPr>
      </w:pPr>
      <w:r>
        <w:t xml:space="preserve">Algorithm testing and </w:t>
      </w:r>
      <w:r w:rsidR="00EC018F">
        <w:t xml:space="preserve">labeling </w:t>
      </w:r>
      <w:r>
        <w:t xml:space="preserve">information </w:t>
      </w:r>
      <w:r w:rsidR="00EC018F">
        <w:t>to include in</w:t>
      </w:r>
      <w:r>
        <w:t xml:space="preserve"> CAVP certificate</w:t>
      </w:r>
      <w:r w:rsidR="00EC018F">
        <w:t>s</w:t>
      </w:r>
      <w:r>
        <w:t xml:space="preserve"> was added in the “CPU Equivalency” section of the guidance doc. Similar to Issue #33, the term “Trusted Provider” is not used, therefore no further definition required</w:t>
      </w:r>
      <w:r w:rsidR="00EC018F">
        <w:t>.</w:t>
      </w:r>
    </w:p>
    <w:p w14:paraId="2994031F" w14:textId="2BA06427" w:rsidR="00996BC8" w:rsidRDefault="00996BC8" w:rsidP="00996BC8">
      <w:pPr>
        <w:pStyle w:val="ListParagraph"/>
        <w:numPr>
          <w:ilvl w:val="2"/>
          <w:numId w:val="1"/>
        </w:numPr>
      </w:pPr>
      <w:r>
        <w:t>This issue is now closed.</w:t>
      </w:r>
    </w:p>
    <w:p w14:paraId="44ED53AE" w14:textId="32145CCC" w:rsidR="00087633" w:rsidRDefault="00087633" w:rsidP="00087633">
      <w:pPr>
        <w:pStyle w:val="ListParagraph"/>
        <w:numPr>
          <w:ilvl w:val="1"/>
          <w:numId w:val="1"/>
        </w:numPr>
      </w:pPr>
      <w:r>
        <w:t xml:space="preserve">Reviewed Issue #47 – </w:t>
      </w:r>
      <w:r w:rsidR="00A81C2F">
        <w:t>‘</w:t>
      </w:r>
      <w:r>
        <w:t>Steps for Adding “CC in the Cloud” to a PP</w:t>
      </w:r>
      <w:r w:rsidR="00A81C2F">
        <w:t>’</w:t>
      </w:r>
    </w:p>
    <w:p w14:paraId="5670EAD2" w14:textId="15157028" w:rsidR="00087633" w:rsidRDefault="00E8368F" w:rsidP="00087633">
      <w:pPr>
        <w:pStyle w:val="ListParagraph"/>
        <w:numPr>
          <w:ilvl w:val="2"/>
          <w:numId w:val="1"/>
        </w:numPr>
      </w:pPr>
      <w:r>
        <w:t xml:space="preserve">Section “High Level Process Overview” was previously added to the guidance document to address this issue </w:t>
      </w:r>
      <w:r w:rsidR="00A81C2F">
        <w:t>and include additional</w:t>
      </w:r>
      <w:r>
        <w:t xml:space="preserve"> refinements.</w:t>
      </w:r>
    </w:p>
    <w:p w14:paraId="1A9BD533" w14:textId="31EDB354" w:rsidR="00E8368F" w:rsidRDefault="000E27A6" w:rsidP="00087633">
      <w:pPr>
        <w:pStyle w:val="ListParagraph"/>
        <w:numPr>
          <w:ilvl w:val="2"/>
          <w:numId w:val="1"/>
        </w:numPr>
      </w:pPr>
      <w:r>
        <w:t xml:space="preserve">Justin F to review and confirm the </w:t>
      </w:r>
      <w:r w:rsidR="00A81C2F">
        <w:t>content is</w:t>
      </w:r>
      <w:r>
        <w:t xml:space="preserve"> accurate</w:t>
      </w:r>
    </w:p>
    <w:p w14:paraId="55976FD6" w14:textId="2D17ACBA" w:rsidR="000E27A6" w:rsidRDefault="000E27A6" w:rsidP="000E27A6">
      <w:pPr>
        <w:pStyle w:val="ListParagraph"/>
        <w:numPr>
          <w:ilvl w:val="1"/>
          <w:numId w:val="1"/>
        </w:numPr>
      </w:pPr>
      <w:r>
        <w:t xml:space="preserve">Reviewed issue #51 – </w:t>
      </w:r>
      <w:r w:rsidR="00A81C2F">
        <w:t>‘T</w:t>
      </w:r>
      <w:r>
        <w:t>itle Page</w:t>
      </w:r>
      <w:r w:rsidR="00A81C2F">
        <w:t>’</w:t>
      </w:r>
    </w:p>
    <w:p w14:paraId="6CCDBDB0" w14:textId="1C401043" w:rsidR="000E27A6" w:rsidRDefault="00A81C2F" w:rsidP="000E27A6">
      <w:pPr>
        <w:pStyle w:val="ListParagraph"/>
        <w:numPr>
          <w:ilvl w:val="2"/>
          <w:numId w:val="1"/>
        </w:numPr>
      </w:pPr>
      <w:r>
        <w:t>This issue to remain open, not high priority.</w:t>
      </w:r>
    </w:p>
    <w:p w14:paraId="38537D1A" w14:textId="26BC5794" w:rsidR="000E27A6" w:rsidRDefault="000E27A6" w:rsidP="000E27A6">
      <w:pPr>
        <w:pStyle w:val="ListParagraph"/>
        <w:numPr>
          <w:ilvl w:val="1"/>
          <w:numId w:val="1"/>
        </w:numPr>
      </w:pPr>
      <w:r>
        <w:t xml:space="preserve">Reviewed Issue #54 – </w:t>
      </w:r>
      <w:r w:rsidR="00A81C2F">
        <w:t>‘</w:t>
      </w:r>
      <w:r>
        <w:t xml:space="preserve">Products vs </w:t>
      </w:r>
      <w:r w:rsidR="00A81C2F">
        <w:t>S</w:t>
      </w:r>
      <w:r>
        <w:t>ervices</w:t>
      </w:r>
      <w:r w:rsidR="00A81C2F">
        <w:t>’</w:t>
      </w:r>
    </w:p>
    <w:p w14:paraId="00618F38" w14:textId="65DD9203" w:rsidR="000E27A6" w:rsidRDefault="008865D7" w:rsidP="000E27A6">
      <w:pPr>
        <w:pStyle w:val="ListParagraph"/>
        <w:numPr>
          <w:ilvl w:val="2"/>
          <w:numId w:val="1"/>
        </w:numPr>
      </w:pPr>
      <w:r>
        <w:t xml:space="preserve">Section “Preface” was modified in the previous meeting to address similar issues and to clarify these terms. </w:t>
      </w:r>
    </w:p>
    <w:p w14:paraId="52798059" w14:textId="3714DA8B" w:rsidR="008865D7" w:rsidRDefault="008865D7" w:rsidP="000E27A6">
      <w:pPr>
        <w:pStyle w:val="ListParagraph"/>
        <w:numPr>
          <w:ilvl w:val="2"/>
          <w:numId w:val="1"/>
        </w:numPr>
      </w:pPr>
      <w:r>
        <w:t>This issue has now been closed</w:t>
      </w:r>
    </w:p>
    <w:p w14:paraId="66D23156" w14:textId="48C3430C" w:rsidR="008865D7" w:rsidRDefault="008865D7" w:rsidP="008865D7">
      <w:pPr>
        <w:pStyle w:val="ListParagraph"/>
        <w:numPr>
          <w:ilvl w:val="1"/>
          <w:numId w:val="1"/>
        </w:numPr>
      </w:pPr>
      <w:r>
        <w:t>Reviewed Issue #61 – Glossary – End User</w:t>
      </w:r>
    </w:p>
    <w:p w14:paraId="62AEE0C0" w14:textId="745A89B9" w:rsidR="008865D7" w:rsidRDefault="00812586" w:rsidP="008865D7">
      <w:pPr>
        <w:pStyle w:val="ListParagraph"/>
        <w:numPr>
          <w:ilvl w:val="2"/>
          <w:numId w:val="1"/>
        </w:numPr>
      </w:pPr>
      <w:r>
        <w:t xml:space="preserve">Definitions from CCPART1 have been posted as a comment by user </w:t>
      </w:r>
      <w:proofErr w:type="spellStart"/>
      <w:r>
        <w:t>heimannrj</w:t>
      </w:r>
      <w:proofErr w:type="spellEnd"/>
      <w:r>
        <w:t xml:space="preserve"> which were discussed.</w:t>
      </w:r>
    </w:p>
    <w:p w14:paraId="6ACF73F6" w14:textId="05418133" w:rsidR="00812586" w:rsidRDefault="00972DAD" w:rsidP="008865D7">
      <w:pPr>
        <w:pStyle w:val="ListParagraph"/>
        <w:numPr>
          <w:ilvl w:val="2"/>
          <w:numId w:val="1"/>
        </w:numPr>
      </w:pPr>
      <w:r>
        <w:lastRenderedPageBreak/>
        <w:t xml:space="preserve">Discussion on “End User” definition and how this entity can be described. </w:t>
      </w:r>
      <w:r w:rsidR="000D547D">
        <w:t>References to “End User” have been replaced by the term “Customer” for clarity</w:t>
      </w:r>
      <w:r w:rsidR="00A81C2F">
        <w:t>, therefore no definition for “End User” is required.</w:t>
      </w:r>
    </w:p>
    <w:p w14:paraId="2F54F9C2" w14:textId="7AC4E006" w:rsidR="00A81C2F" w:rsidRDefault="00A81C2F" w:rsidP="008865D7">
      <w:pPr>
        <w:pStyle w:val="ListParagraph"/>
        <w:numPr>
          <w:ilvl w:val="2"/>
          <w:numId w:val="1"/>
        </w:numPr>
      </w:pPr>
      <w:r>
        <w:t>This issue has now been closed.</w:t>
      </w:r>
    </w:p>
    <w:p w14:paraId="58A7EAA2" w14:textId="50BFB7D9" w:rsidR="002F38F9" w:rsidRDefault="002F38F9" w:rsidP="002F38F9">
      <w:pPr>
        <w:pStyle w:val="ListParagraph"/>
        <w:numPr>
          <w:ilvl w:val="0"/>
          <w:numId w:val="1"/>
        </w:numPr>
      </w:pPr>
      <w:r>
        <w:t>Discussion around whether the “Trusted Provider” definition is needed.</w:t>
      </w:r>
    </w:p>
    <w:p w14:paraId="2EDE7CAD" w14:textId="17279B17" w:rsidR="002F38F9" w:rsidRDefault="00017180" w:rsidP="002F38F9">
      <w:pPr>
        <w:pStyle w:val="ListParagraph"/>
        <w:numPr>
          <w:ilvl w:val="1"/>
          <w:numId w:val="1"/>
        </w:numPr>
      </w:pPr>
      <w:r>
        <w:t xml:space="preserve">While this term is not used in the guidance doc, it is present in the ESR. However, the general consensus among members is that changing the ESR is not a priority and could have negative impacts on the </w:t>
      </w:r>
      <w:proofErr w:type="spellStart"/>
      <w:r>
        <w:t>CCitC</w:t>
      </w:r>
      <w:proofErr w:type="spellEnd"/>
      <w:r>
        <w:t xml:space="preserve"> working group and its supporters. </w:t>
      </w:r>
      <w:r w:rsidR="00A81C2F">
        <w:t xml:space="preserve">It is understood that the overall </w:t>
      </w:r>
      <w:proofErr w:type="spellStart"/>
      <w:r w:rsidR="00A81C2F">
        <w:t>CCitC</w:t>
      </w:r>
      <w:proofErr w:type="spellEnd"/>
      <w:r w:rsidR="00A81C2F">
        <w:t xml:space="preserve"> project can evolve over time which may cause some details to no longer align with the ESR, however this has not been identified to be of major concern at this time. </w:t>
      </w:r>
    </w:p>
    <w:p w14:paraId="2476BEC1" w14:textId="1C63E26D" w:rsidR="00017180" w:rsidRDefault="00B64146" w:rsidP="002F38F9">
      <w:pPr>
        <w:pStyle w:val="ListParagraph"/>
        <w:numPr>
          <w:ilvl w:val="1"/>
          <w:numId w:val="1"/>
        </w:numPr>
      </w:pPr>
      <w:r>
        <w:t xml:space="preserve">The more relevant term for </w:t>
      </w:r>
      <w:r w:rsidR="00A81C2F">
        <w:t xml:space="preserve">the </w:t>
      </w:r>
      <w:proofErr w:type="spellStart"/>
      <w:r w:rsidR="00A81C2F">
        <w:t>CCitC</w:t>
      </w:r>
      <w:proofErr w:type="spellEnd"/>
      <w:r w:rsidR="00A81C2F">
        <w:t xml:space="preserve"> project</w:t>
      </w:r>
      <w:r>
        <w:t xml:space="preserve"> is “Trusted Platform” which is addressed in the guidance document. </w:t>
      </w:r>
    </w:p>
    <w:p w14:paraId="0F5793F4" w14:textId="0DE57CF4" w:rsidR="00B64146" w:rsidRDefault="00B64146" w:rsidP="002F38F9">
      <w:pPr>
        <w:pStyle w:val="ListParagraph"/>
        <w:numPr>
          <w:ilvl w:val="1"/>
          <w:numId w:val="1"/>
        </w:numPr>
      </w:pPr>
      <w:r>
        <w:t xml:space="preserve">Matt Downey confirmed that it makes sense to focus more on Trusted Platform and </w:t>
      </w:r>
      <w:r w:rsidR="00A81C2F">
        <w:t>to move</w:t>
      </w:r>
      <w:r>
        <w:t xml:space="preserve"> forward with this approach. </w:t>
      </w:r>
    </w:p>
    <w:p w14:paraId="6CDD8AF1" w14:textId="249B8E27" w:rsidR="00B64146" w:rsidRDefault="00B64146" w:rsidP="002F38F9">
      <w:pPr>
        <w:pStyle w:val="ListParagraph"/>
        <w:numPr>
          <w:ilvl w:val="1"/>
          <w:numId w:val="1"/>
        </w:numPr>
      </w:pPr>
      <w:r>
        <w:t xml:space="preserve">Section “Trusted Cloud </w:t>
      </w:r>
      <w:r w:rsidR="00A81C2F">
        <w:t>S</w:t>
      </w:r>
      <w:r>
        <w:t>ervice Provider (TCSP)” in the guidance document has been modified as follows</w:t>
      </w:r>
      <w:r w:rsidR="00CA70DA">
        <w:t>:</w:t>
      </w:r>
    </w:p>
    <w:p w14:paraId="7D67534B" w14:textId="3235704A" w:rsidR="00B64146" w:rsidRDefault="00B64146" w:rsidP="00B64146">
      <w:pPr>
        <w:pStyle w:val="ListParagraph"/>
        <w:numPr>
          <w:ilvl w:val="2"/>
          <w:numId w:val="1"/>
        </w:numPr>
        <w:rPr>
          <w:i/>
          <w:iCs/>
        </w:rPr>
      </w:pPr>
      <w:r w:rsidRPr="00CA70DA">
        <w:rPr>
          <w:i/>
          <w:iCs/>
        </w:rPr>
        <w:t>“Proposed to delete”</w:t>
      </w:r>
    </w:p>
    <w:p w14:paraId="291D2754" w14:textId="2DAEE1AC" w:rsidR="000E27A6" w:rsidRPr="000E27A6" w:rsidRDefault="000E27A6" w:rsidP="000E27A6">
      <w:pPr>
        <w:pStyle w:val="ListParagraph"/>
        <w:numPr>
          <w:ilvl w:val="0"/>
          <w:numId w:val="1"/>
        </w:numPr>
        <w:rPr>
          <w:i/>
          <w:iCs/>
        </w:rPr>
      </w:pPr>
      <w:r>
        <w:t>Discussion around Justin F’s work within the MDM working groups and some of the progress that ha</w:t>
      </w:r>
      <w:r w:rsidR="00A81C2F">
        <w:t>s been</w:t>
      </w:r>
      <w:r>
        <w:t xml:space="preserve"> made. </w:t>
      </w:r>
    </w:p>
    <w:p w14:paraId="1AB90BF4" w14:textId="77777777" w:rsidR="00271127" w:rsidRDefault="00271127" w:rsidP="00271127"/>
    <w:p w14:paraId="25F35844" w14:textId="69213FB8" w:rsidR="00246211" w:rsidRDefault="00271127" w:rsidP="00271127">
      <w:pPr>
        <w:rPr>
          <w:b/>
          <w:bCs/>
        </w:rPr>
      </w:pPr>
      <w:r w:rsidRPr="008013C3">
        <w:rPr>
          <w:b/>
          <w:bCs/>
        </w:rPr>
        <w:t>Questions/Follow-ups:</w:t>
      </w:r>
    </w:p>
    <w:p w14:paraId="15EC3345" w14:textId="77777777" w:rsidR="00803D2B" w:rsidRDefault="00803D2B" w:rsidP="00271127">
      <w:pPr>
        <w:rPr>
          <w:b/>
          <w:bCs/>
        </w:rPr>
      </w:pPr>
    </w:p>
    <w:p w14:paraId="15424735" w14:textId="6E6267D4" w:rsidR="000E27A6" w:rsidRPr="0098154F" w:rsidRDefault="000E27A6" w:rsidP="000E27A6">
      <w:pPr>
        <w:pStyle w:val="ListParagraph"/>
        <w:numPr>
          <w:ilvl w:val="0"/>
          <w:numId w:val="1"/>
        </w:numPr>
      </w:pPr>
      <w:r w:rsidRPr="0098154F">
        <w:t>Josh to reach out to Bill Ru</w:t>
      </w:r>
      <w:r w:rsidR="0098154F">
        <w:t>tledge</w:t>
      </w:r>
      <w:r w:rsidRPr="0098154F">
        <w:t xml:space="preserve"> to </w:t>
      </w:r>
      <w:r w:rsidR="0098154F">
        <w:t>propose a meeting</w:t>
      </w:r>
      <w:r w:rsidRPr="0098154F">
        <w:t xml:space="preserve"> space at the ICCC hotel</w:t>
      </w:r>
      <w:r w:rsidR="0098154F">
        <w:t xml:space="preserve"> for </w:t>
      </w:r>
      <w:proofErr w:type="spellStart"/>
      <w:r w:rsidR="0098154F">
        <w:t>CCitC</w:t>
      </w:r>
      <w:proofErr w:type="spellEnd"/>
      <w:r w:rsidR="0098154F">
        <w:t xml:space="preserve"> meetings.</w:t>
      </w:r>
    </w:p>
    <w:p w14:paraId="4DB7495C" w14:textId="0B8627F7" w:rsidR="008013C3" w:rsidRDefault="008013C3" w:rsidP="00271127">
      <w:pPr>
        <w:rPr>
          <w:b/>
          <w:bCs/>
        </w:rPr>
      </w:pPr>
    </w:p>
    <w:p w14:paraId="34B7E488" w14:textId="0DC6F8EC" w:rsidR="008013C3" w:rsidRDefault="008013C3" w:rsidP="00271127">
      <w:pPr>
        <w:rPr>
          <w:b/>
          <w:bCs/>
        </w:rPr>
      </w:pPr>
    </w:p>
    <w:p w14:paraId="25481C1A" w14:textId="5A6AC4EB" w:rsidR="008013C3" w:rsidRDefault="008013C3" w:rsidP="00271127">
      <w:pPr>
        <w:rPr>
          <w:b/>
          <w:bCs/>
        </w:rPr>
      </w:pPr>
    </w:p>
    <w:p w14:paraId="2F1F662C" w14:textId="3B5ADB05" w:rsidR="008013C3" w:rsidRPr="00527B24" w:rsidRDefault="008013C3" w:rsidP="008013C3">
      <w:pPr>
        <w:rPr>
          <w:b/>
          <w:bCs/>
          <w:i/>
          <w:iCs/>
        </w:rPr>
      </w:pPr>
      <w:r w:rsidRPr="00984FD5">
        <w:rPr>
          <w:b/>
          <w:bCs/>
          <w:i/>
          <w:iCs/>
        </w:rPr>
        <w:t>End of Meeting – Adjourned 0</w:t>
      </w:r>
      <w:r w:rsidR="00795ECE">
        <w:rPr>
          <w:b/>
          <w:bCs/>
          <w:i/>
          <w:iCs/>
        </w:rPr>
        <w:t>900</w:t>
      </w:r>
      <w:r w:rsidRPr="00984FD5">
        <w:rPr>
          <w:b/>
          <w:bCs/>
          <w:i/>
          <w:iCs/>
        </w:rPr>
        <w:t xml:space="preserve"> P</w:t>
      </w:r>
      <w:r w:rsidR="00484C05">
        <w:rPr>
          <w:b/>
          <w:bCs/>
          <w:i/>
          <w:iCs/>
        </w:rPr>
        <w:t>D</w:t>
      </w:r>
      <w:r w:rsidRPr="00984FD5">
        <w:rPr>
          <w:b/>
          <w:bCs/>
          <w:i/>
          <w:iCs/>
        </w:rPr>
        <w:t>T</w:t>
      </w:r>
    </w:p>
    <w:p w14:paraId="4D116368" w14:textId="77777777" w:rsidR="008013C3" w:rsidRPr="008013C3" w:rsidRDefault="008013C3" w:rsidP="00271127">
      <w:pPr>
        <w:rPr>
          <w:b/>
          <w:bCs/>
        </w:rPr>
      </w:pPr>
    </w:p>
    <w:sectPr w:rsidR="008013C3" w:rsidRPr="008013C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9E6EFF"/>
    <w:multiLevelType w:val="hybridMultilevel"/>
    <w:tmpl w:val="8D86C130"/>
    <w:lvl w:ilvl="0" w:tplc="3B908226">
      <w:start w:val="1"/>
      <w:numFmt w:val="bullet"/>
      <w:lvlText w:val="-"/>
      <w:lvlJc w:val="left"/>
      <w:pPr>
        <w:ind w:left="720" w:hanging="360"/>
      </w:pPr>
      <w:rPr>
        <w:rFonts w:ascii="Calibri" w:eastAsiaTheme="minorHAnsi" w:hAnsi="Calibri" w:cs="Calibri"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8027228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1127"/>
    <w:rsid w:val="00017180"/>
    <w:rsid w:val="00047E00"/>
    <w:rsid w:val="00087633"/>
    <w:rsid w:val="000D547D"/>
    <w:rsid w:val="000E27A6"/>
    <w:rsid w:val="0011217B"/>
    <w:rsid w:val="00246211"/>
    <w:rsid w:val="00271127"/>
    <w:rsid w:val="002E7A20"/>
    <w:rsid w:val="002F38F9"/>
    <w:rsid w:val="00484C05"/>
    <w:rsid w:val="004D3101"/>
    <w:rsid w:val="00795ECE"/>
    <w:rsid w:val="008013C3"/>
    <w:rsid w:val="00803D2B"/>
    <w:rsid w:val="00812586"/>
    <w:rsid w:val="008865D7"/>
    <w:rsid w:val="00972DAD"/>
    <w:rsid w:val="0098154F"/>
    <w:rsid w:val="00996BC8"/>
    <w:rsid w:val="00A81C2F"/>
    <w:rsid w:val="00B64146"/>
    <w:rsid w:val="00BD19C4"/>
    <w:rsid w:val="00CA70DA"/>
    <w:rsid w:val="00DC1885"/>
    <w:rsid w:val="00E8368F"/>
    <w:rsid w:val="00EC018F"/>
    <w:rsid w:val="00ED37F8"/>
    <w:rsid w:val="00FC4D69"/>
    <w:rsid w:val="00FD696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F90C31"/>
  <w15:chartTrackingRefBased/>
  <w15:docId w15:val="{5ED40A5E-E100-4470-8828-487F258C5E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188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283</TotalTime>
  <Pages>2</Pages>
  <Words>425</Words>
  <Characters>2425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Garrett Nickel</dc:creator>
  <cp:keywords/>
  <dc:description/>
  <cp:lastModifiedBy>Garrett Nickel</cp:lastModifiedBy>
  <cp:revision>33</cp:revision>
  <dcterms:created xsi:type="dcterms:W3CDTF">2022-06-08T18:04:00Z</dcterms:created>
  <dcterms:modified xsi:type="dcterms:W3CDTF">2023-05-24T19:33:00Z</dcterms:modified>
</cp:coreProperties>
</file>