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DM Sans" w:cs="DM Sans" w:eastAsia="DM Sans" w:hAnsi="DM Sans"/>
          <w:b/>
          <w:bCs/>
          <w:color w:val="2D2F8F"/>
          <w:sz w:val="56"/>
          <w:szCs w:val="56"/>
        </w:rPr>
        <w:t xml:space="preserve">VIALUCE</w:t>
      </w:r>
    </w:p>
    <w:p>
      <w:pPr>
        <w:spacing w:after="100"/>
        <w:jc w:val="center"/>
      </w:pPr>
      <w:r>
        <w:rPr>
          <w:rFonts w:ascii="DM Sans" w:cs="DM Sans" w:eastAsia="DM Sans" w:hAnsi="DM Sans"/>
          <w:color w:val="1A1A2E"/>
          <w:sz w:val="40"/>
          <w:szCs w:val="40"/>
        </w:rPr>
        <w:t xml:space="preserve">Architecture Reference</w:t>
      </w:r>
    </w:p>
    <w:p>
      <w:pPr>
        <w:spacing w:after="400"/>
        <w:jc w:val="center"/>
      </w:pPr>
      <w:r>
        <w:rPr>
          <w:rFonts w:ascii="DM Sans" w:cs="DM Sans" w:eastAsia="DM Sans" w:hAnsi="DM Sans"/>
          <w:i/>
          <w:iCs/>
          <w:color w:val="E8A838"/>
          <w:sz w:val="24"/>
          <w:szCs w:val="24"/>
        </w:rPr>
        <w:t xml:space="preserve">Intelligence. Acceleration. Performance.</w:t>
      </w:r>
    </w:p>
    <w:p>
      <w:pPr>
        <w:jc w:val="center"/>
      </w:pPr>
      <w:r>
        <w:rPr>
          <w:rFonts w:ascii="DM Sans" w:cs="DM Sans" w:eastAsia="DM Sans" w:hAnsi="DM Sans"/>
          <w:color w:val="666666"/>
          <w:sz w:val="22"/>
          <w:szCs w:val="22"/>
        </w:rPr>
        <w:t xml:space="preserve">38 Concepts | Version 1.0 | February 24, 2026</w:t>
      </w:r>
    </w:p>
    <w:p>
      <w:pPr>
        <w:spacing w:after="200"/>
        <w:jc w:val="center"/>
      </w:pPr>
      <w:r>
        <w:rPr>
          <w:rFonts w:ascii="DM Sans" w:cs="DM Sans" w:eastAsia="DM Sans" w:hAnsi="DM Sans"/>
          <w:color w:val="999999"/>
          <w:sz w:val="20"/>
          <w:szCs w:val="20"/>
        </w:rPr>
        <w:t xml:space="preserve">Tier 1 Document — Co-founders, Investors, Technical Hires</w:t>
      </w:r>
    </w:p>
    <w:p>
      <w:r>
        <w:br w:type="page"/>
      </w:r>
    </w:p>
    <w:p>
      <w:pPr>
        <w:pStyle w:val="Heading1"/>
      </w:pPr>
      <w:r>
        <w:rPr>
          <w:rFonts w:ascii="DM Sans" w:cs="DM Sans" w:eastAsia="DM Sans" w:hAnsi="DM Sans"/>
        </w:rPr>
        <w:t xml:space="preserve">Architecture Overview</w:t>
      </w:r>
    </w:p>
    <w:p>
      <w:pPr>
        <w:spacing w:after="200"/>
      </w:pPr>
      <w:r>
        <w:rPr>
          <w:rFonts w:ascii="DM Sans" w:cs="DM Sans" w:eastAsia="DM Sans" w:hAnsi="DM Sans"/>
          <w:sz w:val="22"/>
          <w:szCs w:val="22"/>
        </w:rPr>
        <w:t xml:space="preserve">Vialuce is a Performance Intelligence Platform built on a two-tier agent architecture. Foundational Agents process structure (data topology, entity resolution, period detection). Domain Agents process meaning (ICM commission calculations, financial distributions). They communicate through the Intent Action Protocol, producing deterministic, auditable results from AI-assisted decisions.</w:t>
      </w:r>
    </w:p>
    <w:p>
      <w:pPr>
        <w:spacing w:after="200"/>
      </w:pPr>
      <w:r>
        <w:rPr>
          <w:rFonts w:ascii="DM Sans" w:cs="DM Sans" w:eastAsia="DM Sans" w:hAnsi="DM Sans"/>
          <w:sz w:val="22"/>
          <w:szCs w:val="22"/>
        </w:rPr>
        <w:t xml:space="preserve">The platform operates three learning flywheels at different scopes: Tenant (customer-specific, privacy-isolated), Foundational (structural patterns, anonymized), and Domain (vertical expertise, anonymized). Every interaction generates a classification signal that enriches future AI predictions through prompt enrichment — not model retraining.</w:t>
      </w:r>
    </w:p>
    <w:p>
      <w:pPr>
        <w:spacing w:after="200"/>
      </w:pPr>
      <w:r>
        <w:rPr>
          <w:rFonts w:ascii="DM Sans" w:cs="DM Sans" w:eastAsia="DM Sans" w:hAnsi="DM Sans"/>
          <w:sz w:val="22"/>
          <w:szCs w:val="22"/>
        </w:rPr>
        <w:t xml:space="preserve">Pipeline: Import → Interpret (AI) → Commit → Calculate (deterministic) → Reconcile → Learn. The Deterministic Calculation Boundary (C-31) guarantees calculations are reproducible regardless of AI model changes.</w:t>
      </w:r>
    </w:p>
    <w:p>
      <w:r>
        <w:br w:type="page"/>
      </w:r>
    </w:p>
    <w:p>
      <w:pPr>
        <w:pStyle w:val="Heading1"/>
      </w:pPr>
      <w:r>
        <w:rPr>
          <w:rFonts w:ascii="DM Sans" w:cs="DM Sans" w:eastAsia="DM Sans" w:hAnsi="DM Sans"/>
        </w:rPr>
        <w:t xml:space="preserve">Concept Registry</w:t>
      </w:r>
    </w:p>
    <w:p>
      <w:pPr>
        <w:pStyle w:val="Heading2"/>
        <w:spacing w:before="400"/>
      </w:pPr>
      <w:r>
        <w:rPr>
          <w:rFonts w:ascii="DM Sans" w:cs="DM Sans" w:eastAsia="DM Sans" w:hAnsi="DM Sans"/>
        </w:rPr>
        <w:t xml:space="preserve">Foundational (9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C-01: Two-Tier Agent Architecture</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Foundational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Foundational Agents process structure; Domain Agents process meaning. They negotiate through IAP.</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Prevents domain lock-in. New verticals plug in without touching foundational infrastructure.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Foundational agents (data topology, entity resolution, period detection) are domain-agnostic. Domain agents (ICM, Financial) register via DVT and negotiate through Intent Action Protocol.</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OB-79/80 — 869 tests, 159 proof gates, three domains registered.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OB-79</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C-08: 9 Structural Primitives</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Foundational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Irreducible building blocks: Entity, Period, Metric, Component, Rule Set, Outcome, Signal, Assessment, Action.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Every domain composes from same 9 primitives. Adding a domain = registering new compositions.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Primitives are domain-agnostic nouns. ICM’s commission = Component + Metric + Rule Set. Restaurant’s tip = Component + Entity + Metric.</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OB-76/80 — validated across three domain registrations.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OB-76</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C-09: Intent Action Protocol (IAP)</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Foundational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Contract between agents. Intents express what to do; Actions express how it was done.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Decouples decision-making from execution. AI decides intent; engines execute deterministically.</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Domain agent produces ComponentIntent. Executor receives intent, executes, returns ActionResult with trace.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OB-80 — IAP scoring and arbitration validated.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C-10: IAP Gate</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Foundational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Every UI measure must deliver Intelligence + Acceleration + Performance. Failing measures removed.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Prevents dashboard bloat. Every number must reveal insight (I), compel action (A), and be communicable in 5 seconds (P).</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Design review gate applied to every metric and surface.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CLT-84 review — 49 findings evaluated against IAP.</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v1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C-16: Carry Everything, Express Contextually</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Foundational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Preserve all data at import (DNA). Let context activate what’s needed at calculation (cellular signals).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Early filtering destroys information needed by future plans, periods, or reconciliation.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Import commits ALL columns from ALL sheets. Raw data immutable. Engine reads only needed fields via semantic mapping.</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OB-27B, OB-85 — 119,129 records preserved across 7 sheets.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v1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C-17: Thermostat, Not Thermometer</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Foundational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Every surface acts on data, not just displays it. What? Why? What now?</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Data display alone doesn’t drive performance.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Each persona includes actionable elements: coaching suggestions, dispute submission, resolution actions.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OB-84 persona surfaces — assessment panels, coaching agendas.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v1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C-19: Bidirectional Data Intelligence</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Foundational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Forward: file → what’s wrong? Reverse: results → what’s missing? Both directions.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Unidirectional analysis misses population gaps and structural mismatches.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Forward: given benchmark, which employees have discrepancies? Reverse: given results, who’s missing?</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OB-85 reconciliation — forward and reverse matching.</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v1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C-23: Domain Agnostic</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Foundational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Engine serves any industry: commissions, royalties, tips, bonuses. Zero code changes.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Market size multiplier. Every domain expands TAM without engineering cost.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Core: topology → entity resolution → metric resolution → formula execution → outcome. Nouns change; verbs don’t.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OB-80 — ICM, Financial, Operations on same engine.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v1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C-29: AI-First, Never Hardcoded</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Foundational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All classification flows through AI. Zero hardcoded patterns.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Hardcoded patterns work for one customer and break for the next.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Every mapping uses AI Classification Pipeline. Korean Test enforces at review. Anti-pattern registry tracks violations.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OB-17A audit, OB-65 clean slate.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v1</w:t>
            </w:r>
          </w:p>
        </w:tc>
      </w:tr>
    </w:tbl>
    <w:p>
      <w:pPr>
        <w:spacing w:after="200"/>
      </w:pPr>
    </w:p>
    <w:p>
      <w:pPr>
        <w:pStyle w:val="Heading2"/>
        <w:spacing w:before="400"/>
      </w:pPr>
      <w:r>
        <w:rPr>
          <w:rFonts w:ascii="DM Sans" w:cs="DM Sans" w:eastAsia="DM Sans" w:hAnsi="DM Sans"/>
        </w:rPr>
        <w:t xml:space="preserve">Agent (5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C-03: Synaptic Surface</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Agent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Connection point between agents and UI components. Every surface renders agent state.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UI components don’t fetch data independently — they render agent output, ensuring consistency and auditability.</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Each agent exposes structured data with metadata (confidence, source, freshness). Components subscribe to surfaces.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OB-78 — synaptic state foundation.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OB-78</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C-04: Synaptic Density</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Agent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Measurement of information richness at a synaptic surface. Drives execution mode decisions.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Different data states require different behaviors. Empty, sparse, and rich data each warrant distinct UX.</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Density = function(signal count, recency, confidence). High density enables autonomous action; low density triggers guidance.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OB-78 — density-driven execution modes validated.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OB-78</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C-12: Negotiation Protocol</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Agent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Agents negotiate conflicts through structured protocol, not hardcoded priority.</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When multiple agents disagree, resolution must be auditable and consistent.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Conflict → each agent states claim with confidence → arbitration applies scope rules → winner recorded.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OB-80 — negotiation between domain agents validated.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C-13: Domain Agent Dispatch</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Agent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Foundational layer routes requests to correct domain agent based on tenant configuration.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Tenants may operate across multiple domains. Dispatch ensures correct expertise.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Tenant registration specifies active domains. Intents dispatched to registered domain agent.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OB-83 — domain runtime and dispatch validated.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OB-83</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C-14: Agent Memory (Unified Read Side)</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Agent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All agents read from same materialized state. Write paths differ; read paths converge.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Prevents agents from operating on stale or inconsistent data.</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entity_period_outcomes materializes results. All surfaces read from this single table.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OB-79/81 — unified read side with three-flywheel integration.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OB-79</w:t>
            </w:r>
          </w:p>
        </w:tc>
      </w:tr>
    </w:tbl>
    <w:p>
      <w:pPr>
        <w:spacing w:after="200"/>
      </w:pPr>
    </w:p>
    <w:p>
      <w:pPr>
        <w:pStyle w:val="Heading2"/>
        <w:spacing w:before="400"/>
      </w:pPr>
      <w:r>
        <w:rPr>
          <w:rFonts w:ascii="DM Sans" w:cs="DM Sans" w:eastAsia="DM Sans" w:hAnsi="DM Sans"/>
        </w:rPr>
        <w:t xml:space="preserve">Learning (11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C-06: Three-Scope ML Flywheels</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Three isolated learning scopes — Tenant, Foundational, Domain — each with privacy boundaries.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Tenant data never crosses boundaries. Structural patterns are shared anonymously.</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Tenant flywheel: customer-specific patterns. Foundational: structural patterns across tenants (anonymized). Domain: vertical expertise.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OB-80/81 — three-scope aggregation with privacy isolation.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C-07: Cold Start Intelligence</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New tenants benefit from accumulated patterns immediately. No blank-slate problem.</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First-import accuracy determines customer perception.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Foundational and Domain flywheels provide prior knowledge for new tenants’ first import.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OB-81, CLT-80 — cold start priors loaded from flywheel tables.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C-15: Pattern Signatures</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Structural fingerprints enabling recognition without content inspection.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Privacy-preserving learning. Recognizes data shapes from structure alone.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Import generates structural signatures: column count, type distribution, header patterns, value ranges.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OB-78 — pattern signature generation and matching.</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OB-78</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C-20: Closed-Loop Learning</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Every platform action generates a classification signal. Signals enrich future AI prompts.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The compound learning moat. Every interaction makes the next one smarter.</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AI prediction → user outcome → signal → pattern memory → enriched prompt → better prediction.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OB-86 (in flight) — measurement infrastructure.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v1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C-28: Compound Learning (Strategic Moat)</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Every AI interaction generates signals. Platform gets smarter with every customer. This is the moat.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Competitors cannot copy accumulated intelligence. Time × customers × interactions = irreproducible.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Signals accumulate across three scopes. Each new tenant benefits from prior patterns.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Architecture proven OB-78-86.</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v1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C-32: Classification Signal Architecture</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Structured record of AI prediction + user outcome for prompt enrichment.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Without both prediction and outcome, the flywheel is theoretical.</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Two-phase: Phase 1 logs prediction+confidence. Phase 2 logs user outcome. Signal pair feeds metrics.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OB-86 (in flight) — signal service wired.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Feb 23 session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C-33: Confidence Calibration</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DESIGNED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Does 85% confidence mean 85% accuracy?</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Users trust or distrust scores based on calibration. Overconfidence is dangerous.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Bucket predictions by confidence. Compute actual accuracy per bucket. Perfect calibration = diagonal.</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OB-86 (in flight) — calibration service.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Feb 23 session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C-34: Override Rate as Learning Signal</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DESIGNED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User corrections are the most valuable signal. High override rate = poor AI.</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Declining override rate over time proves the flywheel works.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Override = user selected different value. Tracked per type, per tenant, over time.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OB-86 (in flight).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Feb 23 session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C-35: Prompt Enrichment</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Accumulated patterns included as context in future AI API calls.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Not fine-tuning, not retraining — enriching prompts with proven patterns.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Before AI call, retrieve relevant signals. Format as examples in prompt.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Import pipeline includes tenant context.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Feb 23 session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C-36: Pattern Memory</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Classification outcomes stored per scope with privacy isolation.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Storage layer for flywheels. Without persistence, every import starts from scratch.</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classification_signals table in Supabase. Scoped by tenant_id. Cross-tenant only for VL Admin.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OB-86 — 6+ write locations.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Feb 23 session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C-37: Intelligence Maturity Stages</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Learning | DESIGNED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Four-stage roadmap: Prompt Enrichment → Learned Embeddings → Fine-Tuning → RLHF.</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Honest positioning. Stage 1 is current. Each stage uses same data foundation.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Stage 1 (Now): prompt enrichment. Stage 2 (10+): pgvector. Stage 3 (50+): fine-tuning. Stage 4 (100+): RLHF.</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Architecture designed. Stage 1 in production.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Feb 23 session</w:t>
            </w:r>
          </w:p>
        </w:tc>
      </w:tr>
    </w:tbl>
    <w:p>
      <w:pPr>
        <w:spacing w:after="200"/>
      </w:pPr>
    </w:p>
    <w:p>
      <w:pPr>
        <w:pStyle w:val="Heading2"/>
        <w:spacing w:before="400"/>
      </w:pPr>
      <w:r>
        <w:rPr>
          <w:rFonts w:ascii="DM Sans" w:cs="DM Sans" w:eastAsia="DM Sans" w:hAnsi="DM Sans"/>
        </w:rPr>
        <w:t xml:space="preserve">Execution (7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C-05: Density-Driven Execution Modes</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Execution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Agent behavior adapts based on synaptic density: autonomous at high, guided at medium, manual at low.</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Eliminates the binary choice between fully automated and fully manual.</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Three modes: Autonomous (&gt;85% confidence), Guided (suggest with explanation), Manual (present options, human decides).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OB-78 — mode transitions validated across import and calculation.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OB-78</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C-18: Adaptive Depth Reconciliation</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Execution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Discover what’s comparable between two independent datasets. Compare at every layer.</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Benchmark files don’t share calculation’s structure. Must discover common ground.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AI discovers dimensions (entity ID, total, period, components). Reports depth. Compares all layers. Surfaces false greens.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Addendum 4, OB-85 R6 — 719/719 match, 97.9% accuracy.</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Add. 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C-21: Calculation Sovereignty</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Execution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Calculations depend only on committed data + rule set. Never on import-time decisions.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Results must be auditable. Import decisions are locked before calculation begins.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Engine reads committed_data (immutable) + rule_set (versioned). AI locked at C-31 boundary.</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OB-75/76 — 100% concordance AI vs deterministic paths.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TMR v1</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C-24: Semantic Resolution Hierarchy</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Execution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Three-level fallback for metrics: direct mapping → computed → explicitly indeterminate.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Data arrives inconsistently. Engine handles all without configuration.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Level 1: AI-mapped attainment. Level 2: computed from amount/goal. Level 3: undefined (not zero).</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OB-24 R8 — validated across 7 sheets.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OB-24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C-25: Data Topology Resolution</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Execution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Classify sheets as roster, employee-component, or store-component from content, not names.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Customers can’t restructure data. Platform must understand whatever arrives.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AI classifies from content: roster, employee_component (per-person), store_component (per-location). Drives assembly path.</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OB-24 R9 — 7 sheets correctly classified.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OB-24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C-31: Deterministic Calculation Boundary</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Execution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The line where probabilistic AI outputs become locked deterministic inputs.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Calculations must be reproducible. AI suggests; calculations are exact.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AI produces ComponentIntent (probabilistic). Intent locked at commit. Engine reads only locked intents.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OB-75/76 — 100.0% concordance.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Feb 23 session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C-38: Three-Tier Resolution Chain</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Execution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LLM → Deterministic Fallback → Human Authority. Every AI function has explicit fallback.</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AI will fail. Users must never be blocked.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Tier 1: LLM-Primary. Tier 2: Deterministic if AI fails. Tier 3: Human decides. Each logs resolution.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OB-77 — 100% concordance dual-path.</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Feb 23 session</w:t>
            </w:r>
          </w:p>
        </w:tc>
      </w:tr>
    </w:tbl>
    <w:p>
      <w:pPr>
        <w:spacing w:after="200"/>
      </w:pPr>
    </w:p>
    <w:p>
      <w:pPr>
        <w:pStyle w:val="Heading2"/>
        <w:spacing w:before="400"/>
      </w:pPr>
      <w:r>
        <w:rPr>
          <w:rFonts w:ascii="DM Sans" w:cs="DM Sans" w:eastAsia="DM Sans" w:hAnsi="DM Sans"/>
        </w:rPr>
        <w:t xml:space="preserve">Quality (5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C-02: Korean Test</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Quality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If it doesn’t work in Hangul, it’s not done.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Eliminates hardcoded string matching, language assumptions, and character-set dependencies.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Every function mentally tested: substitute all field names with Korean equivalents. If any code contains string comparison against expected column names, it fails.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OB-24 R9, formalized OB-78 — grep verification across all foundational files.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OB-24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C-22: Five Layers of Proof</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Quality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Every number traces to source: Population → Component → Metric → Formula → Source.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Regulators, auditors, and managers need different proof depths. Platform provides all five.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Layer 1: Outcome. Layer 2: Population. Layer 3: Component. Layer 4: Metric. Layer 5: Source row.</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OB-72, OB-85 — five-layer trace through reconciliation.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OB-30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C-26: Financial Assertion Immutability</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Quality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Official calculation batches can be superseded, never overwritten.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SOC2/GAAP compliance. Historical record must be retrievable, not reconstructed.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OFFICIAL+ batches immutable. New calculations create new batches with supersedes FK.</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OB-42, Rule 30 — supersession chain validated.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OB-42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C-27: Production Discipline</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Quality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Deployment rigor from day one. Not retrofitted.</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Technical debt from lax early development kills enterprise startups.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Every commit builds. PR-based deployment. Automated proof gates. Completion reports with evidence.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86+ OBs, 159+ proof gates, continuous deployment.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OB-42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C-30: Fix Logic, Not Data</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Quality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Never provide answer values. Fix the logic that produces wrong answers.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Hardcoded answers work for one entity. Fixed logic works for all.</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Standing rule: no answer keys for CC. Fix formula, data path, or resolution logic.</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OB-85 R3-R6 — 0% to 97.9% without hardcoded values.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OB-30</w:t>
            </w:r>
          </w:p>
        </w:tc>
      </w:tr>
    </w:tbl>
    <w:p>
      <w:pPr>
        <w:spacing w:after="200"/>
      </w:pPr>
    </w:p>
    <w:p>
      <w:pPr>
        <w:pStyle w:val="Heading2"/>
        <w:spacing w:before="400"/>
      </w:pPr>
      <w:r>
        <w:rPr>
          <w:rFonts w:ascii="DM Sans" w:cs="DM Sans" w:eastAsia="DM Sans" w:hAnsi="DM Sans"/>
        </w:rPr>
        <w:t xml:space="preserve">Expansion (1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FFFFFF"/>
                <w:sz w:val="20"/>
                <w:szCs w:val="20"/>
              </w:rPr>
              <w:t xml:space="preserve">C-11: Domain Viability Test (DVT)</w:t>
            </w:r>
          </w:p>
        </w:tc>
        <w:tc>
          <w:tcPr>
            <w:tcW w:type="dxa" w:w="7160"/>
            <w:tcBorders>
              <w:top w:val="single" w:color="CCCCCC" w:sz="1"/>
              <w:left w:val="single" w:color="CCCCCC" w:sz="1"/>
              <w:bottom w:val="single" w:color="CCCCCC" w:sz="1"/>
              <w:right w:val="single" w:color="CCCCCC" w:sz="1"/>
            </w:tcBorders>
            <w:shd w:fill="2D2F8F" w:val="clear"/>
            <w:tcMar>
              <w:top w:type="dxa" w:w="80"/>
              <w:left w:type="dxa" w:w="120"/>
              <w:bottom w:type="dxa" w:w="80"/>
              <w:right w:type="dxa" w:w="120"/>
            </w:tcMar>
          </w:tcPr>
          <w:p>
            <w:r>
              <w:rPr>
                <w:rFonts w:ascii="DM Sans" w:cs="DM Sans" w:eastAsia="DM Sans" w:hAnsi="DM Sans"/>
                <w:b/>
                <w:bCs/>
                <w:color w:val="E8A838"/>
                <w:sz w:val="20"/>
                <w:szCs w:val="20"/>
              </w:rPr>
              <w:t xml:space="preserve">Expansion | PROVEN</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One-liner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Can the 9 primitives express this domain? If yes, it’s viable.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Why it matters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Prevents accepting domains that require architectural exceptions.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How it works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New domain maps concepts to 9 primitives. Complete mapping = register. Gaps = evaluate extension vs domain agent.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Proof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OB-80 — ICM, Financial, Operations all passed DVT.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DM Sans" w:cs="DM Sans" w:eastAsia="DM Sans" w:hAnsi="DM Sans"/>
                <w:b/>
                <w:bCs/>
                <w:color w:val="1A1A2E"/>
                <w:sz w:val="20"/>
                <w:szCs w:val="20"/>
              </w:rPr>
              <w:t xml:space="preserve">First appeared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DM Sans" w:cs="DM Sans" w:eastAsia="DM Sans" w:hAnsi="DM Sans"/>
                <w:b w:val="false"/>
                <w:bCs w:val="false"/>
                <w:color w:val="333333"/>
                <w:sz w:val="20"/>
                <w:szCs w:val="20"/>
              </w:rPr>
              <w:t xml:space="preserve">OB-80</w:t>
            </w:r>
          </w:p>
        </w:tc>
      </w:tr>
    </w:tbl>
    <w:p>
      <w:pPr>
        <w:spacing w:after="200"/>
      </w:pPr>
    </w:p>
    <w:p>
      <w:r>
        <w:br w:type="page"/>
      </w:r>
    </w:p>
    <w:p>
      <w:pPr>
        <w:pStyle w:val="Heading1"/>
      </w:pPr>
      <w:r>
        <w:rPr>
          <w:rFonts w:ascii="DM Sans" w:cs="DM Sans" w:eastAsia="DM Sans" w:hAnsi="DM Sans"/>
        </w:rPr>
        <w:t xml:space="preserve">Competitive Moat</w:t>
      </w:r>
    </w:p>
    <w:p>
      <w:pPr>
        <w:spacing w:after="200"/>
      </w:pPr>
      <w:r>
        <w:rPr>
          <w:rFonts w:ascii="DM Sans" w:cs="DM Sans" w:eastAsia="DM Sans" w:hAnsi="DM Sans"/>
          <w:sz w:val="22"/>
          <w:szCs w:val="22"/>
        </w:rPr>
        <w:t xml:space="preserve">1. Classification Signal Accumulation (C-28, C-32): Every import generates signals. A competitor starting today has zero. The gap compounds daily across every tenant.</w:t>
      </w:r>
    </w:p>
    <w:p>
      <w:pPr>
        <w:spacing w:after="200"/>
      </w:pPr>
      <w:r>
        <w:rPr>
          <w:rFonts w:ascii="DM Sans" w:cs="DM Sans" w:eastAsia="DM Sans" w:hAnsi="DM Sans"/>
          <w:sz w:val="22"/>
          <w:szCs w:val="22"/>
        </w:rPr>
        <w:t xml:space="preserve">2. Domain Agent Library (C-11, C-23): Each domain passes DVT and registers on same infrastructure. Foundational improvements benefit all domains. Competitors build each from scratch.</w:t>
      </w:r>
    </w:p>
    <w:p>
      <w:pPr>
        <w:spacing w:after="200"/>
      </w:pPr>
      <w:r>
        <w:rPr>
          <w:rFonts w:ascii="DM Sans" w:cs="DM Sans" w:eastAsia="DM Sans" w:hAnsi="DM Sans"/>
          <w:sz w:val="22"/>
          <w:szCs w:val="22"/>
        </w:rPr>
        <w:t xml:space="preserve">3. Three-Scope Privacy Architecture (C-06): Tenant data stays private. Structural patterns shared. Takes 12-18 months to design correctly. Cannot be bolted onto existing software.</w:t>
      </w:r>
    </w:p>
    <w:p>
      <w:r>
        <w:br w:type="page"/>
      </w:r>
    </w:p>
    <w:p>
      <w:pPr>
        <w:pStyle w:val="Heading1"/>
      </w:pPr>
      <w:r>
        <w:rPr>
          <w:rFonts w:ascii="DM Sans" w:cs="DM Sans" w:eastAsia="DM Sans" w:hAnsi="DM Sans"/>
        </w:rPr>
        <w:t xml:space="preserve">Status Summary</w:t>
      </w:r>
    </w:p>
    <w:p>
      <w:pPr>
        <w:spacing w:after="200"/>
      </w:pPr>
      <w:r>
        <w:rPr>
          <w:rFonts w:ascii="DM Sans" w:cs="DM Sans" w:eastAsia="DM Sans" w:hAnsi="DM Sans"/>
          <w:b/>
          <w:bCs/>
          <w:sz w:val="22"/>
          <w:szCs w:val="22"/>
        </w:rPr>
        <w:t xml:space="preserve">Total: 38. Proven: 35. Designed: 3.</w:t>
      </w:r>
    </w:p>
    <w:p>
      <w:pPr>
        <w:spacing w:after="200"/>
      </w:pPr>
      <w:r>
        <w:rPr>
          <w:rFonts w:ascii="DM Sans" w:cs="DM Sans" w:eastAsia="DM Sans" w:hAnsi="DM Sans"/>
          <w:sz w:val="22"/>
          <w:szCs w:val="22"/>
        </w:rPr>
        <w:t xml:space="preserve">Every PROVEN concept validated through automated tests, browser verification, or ground truth reconciliation. DESIGNED concepts have specifications and await sufficient data volume.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999999"/>
        <w:sz w:val="16"/>
        <w:szCs w:val="16"/>
      </w:rPr>
      <w:t xml:space="preserve">vialuce.ai · Intelligence. Acceleration. Performance. · Page </w:t>
    </w:r>
    <w:r>
      <w:rPr>
        <w:rFonts w:ascii="DM Sans" w:cs="DM Sans" w:eastAsia="DM Sans" w:hAnsi="DM San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i/>
        <w:iCs/>
        <w:color w:val="999999"/>
        <w:sz w:val="16"/>
        <w:szCs w:val="16"/>
      </w:rPr>
      <w:t xml:space="preserve">Vialuce Architecture Reference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DM Sans" w:cs="DM Sans" w:eastAsia="DM Sans" w:hAnsi="DM Sans"/>
      <w:b/>
      <w:bCs/>
      <w:color w:val="2D2F8F"/>
      <w:sz w:val="36"/>
      <w:szCs w:val="36"/>
    </w:rPr>
  </w:style>
  <w:style w:type="paragraph" w:styleId="Heading2">
    <w:name w:val="Heading 2"/>
    <w:basedOn w:val="Normal"/>
    <w:next w:val="Normal"/>
    <w:qFormat/>
    <w:pPr>
      <w:spacing w:before="240" w:after="180"/>
      <w:outlineLvl w:val="1"/>
    </w:pPr>
    <w:rPr>
      <w:rFonts w:ascii="DM Sans" w:cs="DM Sans" w:eastAsia="DM Sans" w:hAnsi="DM Sans"/>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2026-02-24T05:51:07.273Z</dcterms:created>
  <dcterms:modified xsi:type="dcterms:W3CDTF">2026-02-24T05:51:07.275Z</dcterms:modified>
</cp:coreProperties>
</file>

<file path=docProps/custom.xml><?xml version="1.0" encoding="utf-8"?>
<Properties xmlns="http://schemas.openxmlformats.org/officeDocument/2006/custom-properties" xmlns:vt="http://schemas.openxmlformats.org/officeDocument/2006/docPropsVTypes"/>
</file>