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2"/>
          <w:szCs w:val="52"/>
        </w:rPr>
        <w:t xml:space="preserve">VIALUCE</w:t>
      </w:r>
    </w:p>
    <w:p>
      <w:pPr>
        <w:spacing w:after="200"/>
        <w:jc w:val="center"/>
      </w:pPr>
      <w:r>
        <w:rPr>
          <w:rFonts w:ascii="Arial" w:cs="Arial" w:eastAsia="Arial" w:hAnsi="Arial"/>
          <w:color w:val="1B2A4A"/>
          <w:sz w:val="36"/>
          <w:szCs w:val="36"/>
        </w:rPr>
        <w:t xml:space="preserve">DS-019: Authentication and Identity Architecture</w:t>
      </w:r>
    </w:p>
    <w:p>
      <w:pPr>
        <w:spacing w:after="100"/>
        <w:jc w:val="center"/>
      </w:pPr>
      <w:r>
        <w:rPr>
          <w:i/>
          <w:iCs/>
          <w:color w:val="555555"/>
          <w:sz w:val="24"/>
          <w:szCs w:val="24"/>
        </w:rPr>
        <w:t xml:space="preserve">Holistic Security Foundation for the Adaptive Intelligence System</w:t>
      </w:r>
    </w:p>
    <w:p>
      <w:pPr>
        <w:spacing w:after="600"/>
        <w:jc w:val="center"/>
      </w:pPr>
      <w:r>
        <w:rPr>
          <w:i/>
          <w:iCs/>
          <w:color w:val="888888"/>
          <w:sz w:val="22"/>
          <w:szCs w:val="22"/>
        </w:rPr>
        <w:t xml:space="preserve">Intelligence. Acceleration. Performance.</w:t>
      </w:r>
    </w:p>
    <w:p>
      <w:pPr>
        <w:jc w:val="center"/>
      </w:pPr>
      <w:r>
        <w:rPr>
          <w:color w:val="555555"/>
          <w:sz w:val="22"/>
          <w:szCs w:val="22"/>
        </w:rPr>
        <w:t xml:space="preserve">March 19, 2026  ·  Confidential</w:t>
      </w:r>
    </w:p>
    <w:p>
      <w:pPr>
        <w:spacing w:before="1200"/>
      </w:pPr>
    </w:p>
    <w:p>
      <w:pPr>
        <w:spacing w:after="60"/>
      </w:pPr>
      <w:r>
        <w:rPr>
          <w:b/>
          <w:bCs/>
          <w:sz w:val="22"/>
          <w:szCs w:val="22"/>
        </w:rPr>
        <w:t xml:space="preserve">Status: </w:t>
      </w:r>
      <w:r>
        <w:rPr>
          <w:sz w:val="22"/>
          <w:szCs w:val="22"/>
        </w:rPr>
        <w:t xml:space="preserve">DRAFT — Pending Decision Lock</w:t>
      </w:r>
    </w:p>
    <w:p>
      <w:pPr>
        <w:spacing w:after="60"/>
      </w:pPr>
      <w:r>
        <w:rPr>
          <w:b/>
          <w:bCs/>
          <w:sz w:val="22"/>
          <w:szCs w:val="22"/>
        </w:rPr>
        <w:t xml:space="preserve">Supersedes: </w:t>
      </w:r>
      <w:r>
        <w:rPr>
          <w:sz w:val="22"/>
          <w:szCs w:val="22"/>
        </w:rPr>
        <w:t xml:space="preserve">All ad-hoc auth implementation (HF-059, HF-061, HF-136, HF-138, OB-67 RequireRole)</w:t>
      </w:r>
    </w:p>
    <w:p>
      <w:pPr>
        <w:spacing w:after="60"/>
      </w:pPr>
      <w:r>
        <w:rPr>
          <w:b/>
          <w:bCs/>
          <w:sz w:val="22"/>
          <w:szCs w:val="22"/>
        </w:rPr>
        <w:t xml:space="preserve">Extends: </w:t>
      </w:r>
      <w:r>
        <w:rPr>
          <w:sz w:val="22"/>
          <w:szCs w:val="22"/>
        </w:rPr>
        <w:t xml:space="preserve">DS-013 (Platform Experience), DS-014 (Access Control), Decision 123, Decision 126</w:t>
      </w:r>
    </w:p>
    <w:p>
      <w:pPr>
        <w:spacing w:after="60"/>
      </w:pPr>
      <w:r>
        <w:rPr>
          <w:b/>
          <w:bCs/>
          <w:sz w:val="22"/>
          <w:szCs w:val="22"/>
        </w:rPr>
        <w:t xml:space="preserve">Governs: </w:t>
      </w:r>
      <w:r>
        <w:rPr>
          <w:sz w:val="22"/>
          <w:szCs w:val="22"/>
        </w:rPr>
        <w:t xml:space="preserve">Login, session, MFA, permissions, persona, module access, tenant scope, entity scope, audit</w:t>
      </w:r>
    </w:p>
    <w:p>
      <w:pPr>
        <w:spacing w:after="60"/>
      </w:pPr>
      <w:r>
        <w:rPr>
          <w:b/>
          <w:bCs/>
          <w:sz w:val="22"/>
          <w:szCs w:val="22"/>
        </w:rPr>
        <w:t xml:space="preserve">Compliance: </w:t>
      </w:r>
      <w:r>
        <w:rPr>
          <w:sz w:val="22"/>
          <w:szCs w:val="22"/>
        </w:rPr>
        <w:t xml:space="preserve">SOC 2 CC6, OWASP Session Management, NIST SP 800-63B, Standing Rule 39</w:t>
      </w:r>
    </w:p>
    <w:p>
      <w:r>
        <w:br w:type="page"/>
      </w:r>
    </w:p>
    <w:p>
      <w:pPr>
        <w:pStyle w:val="Heading1"/>
      </w:pPr>
      <w:r>
        <w:t xml:space="preserve">Contents</w:t>
      </w:r>
    </w:p>
    <w:p>
      <w:pPr>
        <w:tabs>
          <w:tab w:val="right" w:leader="dot" w:pos="9360"/>
        </w:tabs>
        <w:spacing w:after="80"/>
      </w:pPr>
      <w:r>
        <w:rPr>
          <w:b/>
          <w:sz w:val="22"/>
        </w:rPr>
        <w:t>1. The Problem</w:t>
      </w:r>
      <w:r>
        <w:tab/>
      </w:r>
      <w:r>
        <w:rPr>
          <w:sz w:val="22"/>
        </w:rPr>
        <w:t>3</w:t>
      </w:r>
    </w:p>
    <w:p>
      <w:pPr>
        <w:tabs>
          <w:tab w:val="right" w:leader="dot" w:pos="9360"/>
        </w:tabs>
        <w:spacing w:after="60"/>
        <w:ind w:left="360"/>
      </w:pPr>
      <w:r>
        <w:rPr>
          <w:sz w:val="20"/>
        </w:rPr>
        <w:t>1.1 Current State  /  1.2 Why This Matters  /  1.3 Compliance Requirements</w:t>
      </w:r>
    </w:p>
    <w:p>
      <w:pPr>
        <w:tabs>
          <w:tab w:val="right" w:leader="dot" w:pos="9360"/>
        </w:tabs>
        <w:spacing w:after="80"/>
      </w:pPr>
      <w:r>
        <w:rPr>
          <w:b/>
          <w:sz w:val="22"/>
        </w:rPr>
        <w:t>2. Authentication Provider Assessment</w:t>
      </w:r>
      <w:r>
        <w:tab/>
      </w:r>
      <w:r>
        <w:rPr>
          <w:sz w:val="22"/>
        </w:rPr>
        <w:t>5</w:t>
      </w:r>
    </w:p>
    <w:p>
      <w:pPr>
        <w:tabs>
          <w:tab w:val="right" w:leader="dot" w:pos="9360"/>
        </w:tabs>
        <w:spacing w:after="60"/>
        <w:ind w:left="360"/>
      </w:pPr>
      <w:r>
        <w:rPr>
          <w:sz w:val="20"/>
        </w:rPr>
        <w:t>2.1 Supabase Auth Capabilities  /  2.2 Assessment  /  2.3 Decision</w:t>
      </w:r>
    </w:p>
    <w:p>
      <w:pPr>
        <w:tabs>
          <w:tab w:val="right" w:leader="dot" w:pos="9360"/>
        </w:tabs>
        <w:spacing w:after="80"/>
      </w:pPr>
      <w:r>
        <w:rPr>
          <w:b/>
          <w:sz w:val="22"/>
        </w:rPr>
        <w:t>3. The Identity Model</w:t>
      </w:r>
      <w:r>
        <w:tab/>
      </w:r>
      <w:r>
        <w:rPr>
          <w:sz w:val="22"/>
        </w:rPr>
        <w:t>7</w:t>
      </w:r>
    </w:p>
    <w:p>
      <w:pPr>
        <w:tabs>
          <w:tab w:val="right" w:leader="dot" w:pos="9360"/>
        </w:tabs>
        <w:spacing w:after="60"/>
        <w:ind w:left="360"/>
      </w:pPr>
      <w:r>
        <w:rPr>
          <w:sz w:val="20"/>
        </w:rPr>
        <w:t>3.1 The Derivation Chain  /  3.2 Entity-to-User Linking</w:t>
      </w:r>
    </w:p>
    <w:p>
      <w:pPr>
        <w:tabs>
          <w:tab w:val="right" w:leader="dot" w:pos="9360"/>
        </w:tabs>
        <w:spacing w:after="80"/>
      </w:pPr>
      <w:r>
        <w:rPr>
          <w:b/>
          <w:sz w:val="22"/>
        </w:rPr>
        <w:t>4. Session Architecture</w:t>
      </w:r>
      <w:r>
        <w:tab/>
      </w:r>
      <w:r>
        <w:rPr>
          <w:sz w:val="22"/>
        </w:rPr>
        <w:t>8</w:t>
      </w:r>
    </w:p>
    <w:p>
      <w:pPr>
        <w:tabs>
          <w:tab w:val="right" w:leader="dot" w:pos="9360"/>
        </w:tabs>
        <w:spacing w:after="60"/>
        <w:ind w:left="360"/>
      </w:pPr>
      <w:r>
        <w:rPr>
          <w:sz w:val="20"/>
        </w:rPr>
        <w:t>4.1 Server-Side Controls  /  4.2 Cookie Config  /  4.3 httpOnly  /  4.4 signOut  /  4.5 Expiry Notification</w:t>
      </w:r>
    </w:p>
    <w:p>
      <w:pPr>
        <w:tabs>
          <w:tab w:val="right" w:leader="dot" w:pos="9360"/>
        </w:tabs>
        <w:spacing w:after="80"/>
      </w:pPr>
      <w:r>
        <w:rPr>
          <w:b/>
          <w:sz w:val="22"/>
        </w:rPr>
        <w:t>5. Multi-Factor Authentication</w:t>
      </w:r>
      <w:r>
        <w:tab/>
      </w:r>
      <w:r>
        <w:rPr>
          <w:sz w:val="22"/>
        </w:rPr>
        <w:t>10</w:t>
      </w:r>
    </w:p>
    <w:p>
      <w:pPr>
        <w:tabs>
          <w:tab w:val="right" w:leader="dot" w:pos="9360"/>
        </w:tabs>
        <w:spacing w:after="60"/>
        <w:ind w:left="360"/>
      </w:pPr>
      <w:r>
        <w:rPr>
          <w:sz w:val="20"/>
        </w:rPr>
        <w:t>5.1 MFA Policy  /  5.2 Enrollment Flow  /  5.3 Step-Up Authentication</w:t>
      </w:r>
    </w:p>
    <w:p>
      <w:pPr>
        <w:tabs>
          <w:tab w:val="right" w:leader="dot" w:pos="9360"/>
        </w:tabs>
        <w:spacing w:after="80"/>
      </w:pPr>
      <w:r>
        <w:rPr>
          <w:b/>
          <w:sz w:val="22"/>
        </w:rPr>
        <w:t>6. Permission Derivation Chain</w:t>
      </w:r>
      <w:r>
        <w:tab/>
      </w:r>
      <w:r>
        <w:rPr>
          <w:sz w:val="22"/>
        </w:rPr>
        <w:t>11</w:t>
      </w:r>
    </w:p>
    <w:p>
      <w:pPr>
        <w:tabs>
          <w:tab w:val="right" w:leader="dot" w:pos="9360"/>
        </w:tabs>
        <w:spacing w:after="60"/>
        <w:ind w:left="360"/>
      </w:pPr>
      <w:r>
        <w:rPr>
          <w:sz w:val="20"/>
        </w:rPr>
        <w:t>6.1 Single PDP  /  6.2 Four PEPs  /  6.3 Module-Aware Permissions</w:t>
      </w:r>
    </w:p>
    <w:p>
      <w:pPr>
        <w:tabs>
          <w:tab w:val="right" w:leader="dot" w:pos="9360"/>
        </w:tabs>
        <w:spacing w:after="80"/>
      </w:pPr>
      <w:r>
        <w:rPr>
          <w:b/>
          <w:sz w:val="22"/>
        </w:rPr>
        <w:t>7. Persona Resolution</w:t>
      </w:r>
      <w:r>
        <w:tab/>
      </w:r>
      <w:r>
        <w:rPr>
          <w:sz w:val="22"/>
        </w:rPr>
        <w:t>12</w:t>
      </w:r>
    </w:p>
    <w:p>
      <w:pPr>
        <w:tabs>
          <w:tab w:val="right" w:leader="dot" w:pos="9360"/>
        </w:tabs>
        <w:spacing w:after="60"/>
        <w:ind w:left="360"/>
      </w:pPr>
      <w:r>
        <w:rPr>
          <w:sz w:val="20"/>
        </w:rPr>
        <w:t>7.1 Persona Derivation  /  7.2 Persona Surfaces</w:t>
      </w:r>
    </w:p>
    <w:p>
      <w:pPr>
        <w:tabs>
          <w:tab w:val="right" w:leader="dot" w:pos="9360"/>
        </w:tabs>
        <w:spacing w:after="80"/>
      </w:pPr>
      <w:r>
        <w:rPr>
          <w:b/>
          <w:sz w:val="22"/>
        </w:rPr>
        <w:t>8. Audit Logging</w:t>
      </w:r>
      <w:r>
        <w:tab/>
      </w:r>
      <w:r>
        <w:rPr>
          <w:sz w:val="22"/>
        </w:rPr>
        <w:t>13</w:t>
      </w:r>
    </w:p>
    <w:p>
      <w:pPr>
        <w:tabs>
          <w:tab w:val="right" w:leader="dot" w:pos="9360"/>
        </w:tabs>
        <w:spacing w:after="80"/>
      </w:pPr>
      <w:r>
        <w:rPr>
          <w:b/>
          <w:sz w:val="22"/>
        </w:rPr>
        <w:t>9. Compliance Mapping</w:t>
      </w:r>
      <w:r>
        <w:tab/>
      </w:r>
      <w:r>
        <w:rPr>
          <w:sz w:val="22"/>
        </w:rPr>
        <w:t>14</w:t>
      </w:r>
    </w:p>
    <w:p>
      <w:pPr>
        <w:tabs>
          <w:tab w:val="right" w:leader="dot" w:pos="9360"/>
        </w:tabs>
        <w:spacing w:after="80"/>
      </w:pPr>
      <w:r>
        <w:rPr>
          <w:b/>
          <w:sz w:val="22"/>
        </w:rPr>
        <w:t>10. Migration Path</w:t>
      </w:r>
      <w:r>
        <w:tab/>
      </w:r>
      <w:r>
        <w:rPr>
          <w:sz w:val="22"/>
        </w:rPr>
        <w:t>15</w:t>
      </w:r>
    </w:p>
    <w:p>
      <w:pPr>
        <w:tabs>
          <w:tab w:val="right" w:leader="dot" w:pos="9360"/>
        </w:tabs>
        <w:spacing w:after="80"/>
      </w:pPr>
      <w:r>
        <w:rPr>
          <w:b/>
          <w:sz w:val="22"/>
        </w:rPr>
        <w:t>11. Decisions for Locking</w:t>
      </w:r>
      <w:r>
        <w:tab/>
      </w:r>
      <w:r>
        <w:rPr>
          <w:sz w:val="22"/>
        </w:rPr>
        <w:t>16</w:t>
      </w:r>
    </w:p>
    <w:p>
      <w:r>
        <w:br w:type="page"/>
      </w:r>
    </w:p>
    <w:p>
      <w:pPr>
        <w:pStyle w:val="Heading1"/>
      </w:pPr>
      <w:r>
        <w:rPr>
          <w:b/>
          <w:bCs/>
        </w:rPr>
        <w:t xml:space="preserve">1. The Problem</w:t>
      </w:r>
    </w:p>
    <w:p>
      <w:pPr>
        <w:spacing w:after="120"/>
      </w:pPr>
      <w:r>
        <w:rPr>
          <w:sz w:val="22"/>
          <w:szCs w:val="22"/>
        </w:rPr>
        <w:t xml:space="preserve">The platform has been built incrementally over 177 OBs without a holistic authentication and identity architecture. The result is a system that handles financial compensation data — payout amounts, commission structures, individual performance — with session security controls that do not meet any recognized standard.</w:t>
      </w:r>
    </w:p>
    <w:p>
      <w:pPr>
        <w:pStyle w:val="Heading2"/>
      </w:pPr>
      <w:r>
        <w:rPr>
          <w:b/>
          <w:bCs/>
        </w:rPr>
        <w:t xml:space="preserve">1.1 Current State</w:t>
      </w:r>
    </w:p>
    <w:p>
      <w:pPr>
        <w:spacing w:after="120"/>
      </w:pPr>
      <w:r>
        <w:rPr>
          <w:sz w:val="22"/>
          <w:szCs w:val="22"/>
        </w:rPr>
        <w:t xml:space="preserve">DIAG-009 (March 19, 2026) identified three root causes of indefinite session persistence:</w:t>
      </w:r>
    </w:p>
    <w:p>
      <w:pPr>
        <w:pStyle w:val="ListParagraph"/>
        <w:numPr>
          <w:ilvl w:val="0"/>
          <w:numId w:val="2"/>
        </w:numPr>
        <w:spacing w:after="60"/>
      </w:pPr>
      <w:r>
        <w:rPr>
          <w:sz w:val="22"/>
          <w:szCs w:val="22"/>
        </w:rPr>
        <w:t xml:space="preserve">Cookie max-age: 400 days (@supabase/ssr default). Sessions persist for over a year.</w:t>
      </w:r>
    </w:p>
    <w:p>
      <w:pPr>
        <w:pStyle w:val="ListParagraph"/>
        <w:numPr>
          <w:ilvl w:val="0"/>
          <w:numId w:val="2"/>
        </w:numPr>
        <w:spacing w:after="60"/>
      </w:pPr>
      <w:r>
        <w:rPr>
          <w:sz w:val="22"/>
          <w:szCs w:val="22"/>
        </w:rPr>
        <w:t xml:space="preserve">signOut scope: local — refresh tokens are never revoked server-side. After logout, any browser context with the cookie can resume the session.</w:t>
      </w:r>
    </w:p>
    <w:p>
      <w:pPr>
        <w:pStyle w:val="ListParagraph"/>
        <w:numPr>
          <w:ilvl w:val="0"/>
          <w:numId w:val="2"/>
        </w:numPr>
        <w:spacing w:after="60"/>
      </w:pPr>
      <w:r>
        <w:rPr>
          <w:sz w:val="22"/>
          <w:szCs w:val="22"/>
        </w:rPr>
        <w:t xml:space="preserve">Auto-refresh on every request — middleware calls getUser() which transparently refreshes expired tokens, creating an indefinite renewal loop.</w:t>
      </w:r>
    </w:p>
    <w:p>
      <w:pPr>
        <w:spacing w:after="120"/>
      </w:pPr>
      <w:r>
        <w:rPr>
          <w:sz w:val="22"/>
          <w:szCs w:val="22"/>
        </w:rPr>
        <w:t xml:space="preserve">Additional gaps identified through four auth incidents (HF-059, HF-061, HF-136, HF-138) and DIAG-009:</w:t>
      </w:r>
    </w:p>
    <w:p>
      <w:pPr>
        <w:pStyle w:val="ListParagraph"/>
        <w:numPr>
          <w:ilvl w:val="0"/>
          <w:numId w:val="3"/>
        </w:numPr>
        <w:spacing w:after="60"/>
      </w:pPr>
      <w:r>
        <w:rPr>
          <w:sz w:val="22"/>
          <w:szCs w:val="22"/>
        </w:rPr>
        <w:t xml:space="preserve">No idle timeout — sessions never expire due to inactivity.</w:t>
      </w:r>
    </w:p>
    <w:p>
      <w:pPr>
        <w:pStyle w:val="ListParagraph"/>
        <w:numPr>
          <w:ilvl w:val="0"/>
          <w:numId w:val="3"/>
        </w:numPr>
        <w:spacing w:after="60"/>
      </w:pPr>
      <w:r>
        <w:rPr>
          <w:sz w:val="22"/>
          <w:szCs w:val="22"/>
        </w:rPr>
        <w:t xml:space="preserve">No absolute timeout — sessions never expire after a maximum duration.</w:t>
      </w:r>
    </w:p>
    <w:p>
      <w:pPr>
        <w:pStyle w:val="ListParagraph"/>
        <w:numPr>
          <w:ilvl w:val="0"/>
          <w:numId w:val="3"/>
        </w:numPr>
        <w:spacing w:after="60"/>
      </w:pPr>
      <w:r>
        <w:rPr>
          <w:sz w:val="22"/>
          <w:szCs w:val="22"/>
        </w:rPr>
        <w:t xml:space="preserve">No MFA — single-factor password authentication only.</w:t>
      </w:r>
    </w:p>
    <w:p>
      <w:pPr>
        <w:pStyle w:val="ListParagraph"/>
        <w:numPr>
          <w:ilvl w:val="0"/>
          <w:numId w:val="3"/>
        </w:numPr>
        <w:spacing w:after="60"/>
      </w:pPr>
      <w:r>
        <w:rPr>
          <w:sz w:val="22"/>
          <w:szCs w:val="22"/>
        </w:rPr>
        <w:t xml:space="preserve">No SSO — no SAML or OIDC for enterprise identity providers.</w:t>
      </w:r>
    </w:p>
    <w:p>
      <w:pPr>
        <w:pStyle w:val="ListParagraph"/>
        <w:numPr>
          <w:ilvl w:val="0"/>
          <w:numId w:val="3"/>
        </w:numPr>
        <w:spacing w:after="60"/>
      </w:pPr>
      <w:r>
        <w:rPr>
          <w:sz w:val="22"/>
          <w:szCs w:val="22"/>
        </w:rPr>
        <w:t xml:space="preserve">httpOnly: false — JavaScript can read auth cookies (XSS vulnerable).</w:t>
      </w:r>
    </w:p>
    <w:p>
      <w:pPr>
        <w:pStyle w:val="ListParagraph"/>
        <w:numPr>
          <w:ilvl w:val="0"/>
          <w:numId w:val="3"/>
        </w:numPr>
        <w:spacing w:after="60"/>
      </w:pPr>
      <w:r>
        <w:rPr>
          <w:sz w:val="22"/>
          <w:szCs w:val="22"/>
        </w:rPr>
        <w:t xml:space="preserve">No audit logging of auth events — logins, logouts, failed attempts are not recorded.</w:t>
      </w:r>
    </w:p>
    <w:p>
      <w:pPr>
        <w:pStyle w:val="ListParagraph"/>
        <w:numPr>
          <w:ilvl w:val="0"/>
          <w:numId w:val="3"/>
        </w:numPr>
        <w:spacing w:after="60"/>
      </w:pPr>
      <w:r>
        <w:rPr>
          <w:sz w:val="22"/>
          <w:szCs w:val="22"/>
        </w:rPr>
        <w:t xml:space="preserve">No step-up authentication for sensitive operations (approving payouts, modifying plans).</w:t>
      </w:r>
    </w:p>
    <w:p>
      <w:pPr>
        <w:pStyle w:val="ListParagraph"/>
        <w:numPr>
          <w:ilvl w:val="0"/>
          <w:numId w:val="3"/>
        </w:numPr>
        <w:spacing w:after="60"/>
      </w:pPr>
      <w:r>
        <w:rPr>
          <w:sz w:val="22"/>
          <w:szCs w:val="22"/>
        </w:rPr>
        <w:t xml:space="preserve">Client-side auth state management — auth context reads cookies directly instead of receiving server-resolved state.</w:t>
      </w:r>
    </w:p>
    <w:p>
      <w:pPr>
        <w:pStyle w:val="Heading2"/>
      </w:pPr>
      <w:r>
        <w:rPr>
          <w:b/>
          <w:bCs/>
        </w:rPr>
        <w:t xml:space="preserve">1.2 Why This Matters</w:t>
      </w:r>
    </w:p>
    <w:p>
      <w:pPr>
        <w:spacing w:after="120"/>
      </w:pPr>
      <w:r>
        <w:rPr>
          <w:sz w:val="22"/>
          <w:szCs w:val="22"/>
        </w:rPr>
        <w:t xml:space="preserve">Authentication is not a layer. It is the root from which every platform capability derives: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Derived From Auth</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modules a user can access (ICM, Financial, future domains)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 surface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briefing vs manager team view vs rep my-compensation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rendering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pages render and which are hidden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Function availability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Import, calculate, approve, dispute, export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RLS policies chain from auth.uid() through profiles to tenant_id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Entity scope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 sees their team, rep sees themselves via entity_relationships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tenant’s data is active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Intelligence content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Persona-adapted briefing from Insight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Separation of duties (who can calculate vs approve vs post)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Who did what, when, with what authorization level</w:t>
            </w:r>
          </w:p>
        </w:tc>
      </w:tr>
    </w:tbl>
    <w:p>
      <w:pPr>
        <w:spacing w:after="120"/>
      </w:pPr>
      <w:r>
        <w:rPr>
          <w:sz w:val="22"/>
          <w:szCs w:val="22"/>
        </w:rPr>
        <w:t xml:space="preserve">Every architectural decision — DS-013, DS-014, DS-015, the Five Elements, persona surfaces, lifecycle workflow — assumes a correctly authenticated, properly scoped user session as input. Without a compliant foundation, nothing built on top can be trusted.</w:t>
      </w:r>
    </w:p>
    <w:p>
      <w:pPr>
        <w:pStyle w:val="Heading2"/>
      </w:pPr>
      <w:r>
        <w:rPr>
          <w:b/>
          <w:bCs/>
        </w:rPr>
        <w:t xml:space="preserve">1.3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timeout enforcement, server-side revocation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Idle timeout for sensitive data applications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(400-day cookie)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Multi-factor 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 logging of access events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implemented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timeout 2-5 min (high-value) / 15-30 min (low-risk)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Absolute timeout 4-8 hours for workday apps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session enforcement (not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only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Cookie: HttpOnly, Secure, SameSite, short Max-Age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httpOnly:false, 400-day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SP 800-63B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Re-authentication every 12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NIST SP 800-63B</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30-minute inactivity timeout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123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emerges from architecture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Non-compliant architecture</w:t>
            </w:r>
          </w:p>
        </w:tc>
      </w:tr>
    </w:tbl>
    <w:p>
      <w:r>
        <w:br w:type="page"/>
      </w:r>
    </w:p>
    <w:p>
      <w:pPr>
        <w:pStyle w:val="Heading1"/>
      </w:pPr>
      <w:r>
        <w:rPr>
          <w:b/>
          <w:bCs/>
        </w:rPr>
        <w:t xml:space="preserve">2. Authentication Provider Assessment</w:t>
      </w:r>
    </w:p>
    <w:p>
      <w:pPr>
        <w:spacing w:after="120"/>
      </w:pPr>
      <w:r>
        <w:rPr>
          <w:sz w:val="22"/>
          <w:szCs w:val="22"/>
        </w:rPr>
        <w:t xml:space="preserve">Before designing the architecture, we must determine whether Supabase Auth can deliver the required capabilities, or whether an external provider is needed.</w:t>
      </w:r>
    </w:p>
    <w:p>
      <w:pPr>
        <w:pStyle w:val="Heading2"/>
      </w:pPr>
      <w:r>
        <w:rPr>
          <w:b/>
          <w:bCs/>
        </w:rPr>
        <w:t xml:space="preserve">2.1 Supabase Auth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Required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Production-ready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MFA (TOTP)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Authenticator via enrollment/challenge/verify API. Enabled by default on all projects.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(Phone/SMS)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SMS provider (Twilio, MessageBird, Vonage)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time-box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Server-side absolute timeout. Configured in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Inactivity timeout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idle timeout. Configured in Dashboard.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session per user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Most recent login wins. Configured in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(SAML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SSO with Azure AD, Okta, Google. CLI-based setup.</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SSO (OIDC)</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Only SAML 2.0 supported. OIDC-based IdPs not natively supported.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Logout (SLO)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Explicitly not supported. Recommend timeouts instead.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signOut scope: global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Revokes all refresh tokens server-side.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httpOnly cookies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default. Requires custom storage adapter. Browser client cannot read tokens.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Refresh token rotation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Built-in with reuse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Hooks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logic on auth events (sign-in, token refresh, MFA verify).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RLS integration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auth.uid() in policies. Core to tenant 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audit logs available in Dashboard.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provisioning API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API for creating users, assigning metadata.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SCIM provisioning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automatic user lifecycle management from IdP.</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Step-up auth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Partial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AAL levels (aal1/aal2). Can gate sensitive ops on aal2.</w:t>
            </w:r>
          </w:p>
        </w:tc>
      </w:tr>
    </w:tbl>
    <w:p>
      <w:pPr>
        <w:pStyle w:val="Heading2"/>
      </w:pPr>
      <w:r>
        <w:rPr>
          <w:b/>
          <w:bCs/>
        </w:rPr>
        <w:t xml:space="preserve">2.2 Assessment: Can Supabase Auth Deliver Compliance?</w:t>
      </w:r>
    </w:p>
    <w:p>
      <w:pPr>
        <w:spacing w:after="120"/>
      </w:pPr>
      <w:r>
        <w:rPr>
          <w:sz w:val="22"/>
          <w:szCs w:val="22"/>
        </w:rPr>
        <w:t xml:space="preserve">Yes, with configuration and implementation work. Supabase Auth provides the building blocks for SOC 2 / OWASP / NIST compliance:</w:t>
      </w:r>
    </w:p>
    <w:p>
      <w:pPr>
        <w:pStyle w:val="ListParagraph"/>
        <w:numPr>
          <w:ilvl w:val="0"/>
          <w:numId w:val="4"/>
        </w:numPr>
        <w:spacing w:after="60"/>
      </w:pPr>
      <w:r>
        <w:rPr>
          <w:sz w:val="22"/>
          <w:szCs w:val="22"/>
        </w:rPr>
        <w:t xml:space="preserve">MFA via TOTP is free and enabled by default. Enrollment and challenge APIs are well-documented.</w:t>
      </w:r>
    </w:p>
    <w:p>
      <w:pPr>
        <w:pStyle w:val="ListParagraph"/>
        <w:numPr>
          <w:ilvl w:val="0"/>
          <w:numId w:val="4"/>
        </w:numPr>
        <w:spacing w:after="60"/>
      </w:pPr>
      <w:r>
        <w:rPr>
          <w:sz w:val="22"/>
          <w:szCs w:val="22"/>
        </w:rPr>
        <w:t xml:space="preserve">Server-side session controls (time-box, idle timeout, single session) are available on Pro plan, which vialuce already uses.</w:t>
      </w:r>
    </w:p>
    <w:p>
      <w:pPr>
        <w:pStyle w:val="ListParagraph"/>
        <w:numPr>
          <w:ilvl w:val="0"/>
          <w:numId w:val="4"/>
        </w:numPr>
        <w:spacing w:after="60"/>
      </w:pPr>
      <w:r>
        <w:rPr>
          <w:sz w:val="22"/>
          <w:szCs w:val="22"/>
        </w:rPr>
        <w:t xml:space="preserve">SSO via SAML 2.0 covers the major enterprise IdPs (Azure AD, Okta, Google Workspace).</w:t>
      </w:r>
    </w:p>
    <w:p>
      <w:pPr>
        <w:pStyle w:val="ListParagraph"/>
        <w:numPr>
          <w:ilvl w:val="0"/>
          <w:numId w:val="4"/>
        </w:numPr>
        <w:spacing w:after="60"/>
      </w:pPr>
      <w:r>
        <w:rPr>
          <w:sz w:val="22"/>
          <w:szCs w:val="22"/>
        </w:rPr>
        <w:t xml:space="preserve">signOut with scope: global provides server-side session revocation.</w:t>
      </w:r>
    </w:p>
    <w:p>
      <w:pPr>
        <w:pStyle w:val="ListParagraph"/>
        <w:numPr>
          <w:ilvl w:val="0"/>
          <w:numId w:val="4"/>
        </w:numPr>
        <w:spacing w:after="60"/>
      </w:pPr>
      <w:r>
        <w:rPr>
          <w:sz w:val="22"/>
          <w:szCs w:val="22"/>
        </w:rPr>
        <w:t xml:space="preserve">AAL levels (aal1/aal2) enable step-up authentication for sensitive operations.</w:t>
      </w:r>
    </w:p>
    <w:p>
      <w:pPr>
        <w:pStyle w:val="ListParagraph"/>
        <w:numPr>
          <w:ilvl w:val="0"/>
          <w:numId w:val="4"/>
        </w:numPr>
        <w:spacing w:after="60"/>
      </w:pPr>
      <w:r>
        <w:rPr>
          <w:sz w:val="22"/>
          <w:szCs w:val="22"/>
        </w:rPr>
        <w:t xml:space="preserve">Auth Hooks allow custom logic on auth events for audit logging.</w:t>
      </w:r>
    </w:p>
    <w:p>
      <w:pPr>
        <w:pStyle w:val="ListParagraph"/>
        <w:numPr>
          <w:ilvl w:val="0"/>
          <w:numId w:val="4"/>
        </w:numPr>
        <w:spacing w:after="60"/>
      </w:pPr>
      <w:r>
        <w:rPr>
          <w:sz w:val="22"/>
          <w:szCs w:val="22"/>
        </w:rPr>
        <w:t xml:space="preserve">RLS integration with auth.uid() is deeply embedded in the platform’s data isolation model.</w:t>
      </w:r>
    </w:p>
    <w:p>
      <w:pPr>
        <w:spacing w:after="120"/>
      </w:pPr>
      <w:r>
        <w:rPr>
          <w:sz w:val="22"/>
          <w:szCs w:val="22"/>
        </w:rPr>
        <w:t xml:space="preserve">Switching to an external provider (Auth0, WorkOS, Clerk) would require:</w:t>
      </w:r>
    </w:p>
    <w:p>
      <w:pPr>
        <w:pStyle w:val="ListParagraph"/>
        <w:numPr>
          <w:ilvl w:val="0"/>
          <w:numId w:val="5"/>
        </w:numPr>
        <w:spacing w:after="60"/>
      </w:pPr>
      <w:r>
        <w:rPr>
          <w:sz w:val="22"/>
          <w:szCs w:val="22"/>
        </w:rPr>
        <w:t xml:space="preserve">Rewriting all RLS policies that use auth.uid() — 34+ tables.</w:t>
      </w:r>
    </w:p>
    <w:p>
      <w:pPr>
        <w:pStyle w:val="ListParagraph"/>
        <w:numPr>
          <w:ilvl w:val="0"/>
          <w:numId w:val="5"/>
        </w:numPr>
        <w:spacing w:after="60"/>
      </w:pPr>
      <w:r>
        <w:rPr>
          <w:sz w:val="22"/>
          <w:szCs w:val="22"/>
        </w:rPr>
        <w:t xml:space="preserve">Replacing the middleware session validation.</w:t>
      </w:r>
    </w:p>
    <w:p>
      <w:pPr>
        <w:pStyle w:val="ListParagraph"/>
        <w:numPr>
          <w:ilvl w:val="0"/>
          <w:numId w:val="5"/>
        </w:numPr>
        <w:spacing w:after="60"/>
      </w:pPr>
      <w:r>
        <w:rPr>
          <w:sz w:val="22"/>
          <w:szCs w:val="22"/>
        </w:rPr>
        <w:t xml:space="preserve">Migrating all existing user accounts.</w:t>
      </w:r>
    </w:p>
    <w:p>
      <w:pPr>
        <w:pStyle w:val="ListParagraph"/>
        <w:numPr>
          <w:ilvl w:val="0"/>
          <w:numId w:val="5"/>
        </w:numPr>
        <w:spacing w:after="60"/>
      </w:pPr>
      <w:r>
        <w:rPr>
          <w:sz w:val="22"/>
          <w:szCs w:val="22"/>
        </w:rPr>
        <w:t xml:space="preserve">Re-implementing the entity-to-user linking model.</w:t>
      </w:r>
    </w:p>
    <w:p>
      <w:pPr>
        <w:pStyle w:val="ListParagraph"/>
        <w:numPr>
          <w:ilvl w:val="0"/>
          <w:numId w:val="5"/>
        </w:numPr>
        <w:spacing w:after="60"/>
      </w:pPr>
      <w:r>
        <w:rPr>
          <w:sz w:val="22"/>
          <w:szCs w:val="22"/>
        </w:rPr>
        <w:t xml:space="preserve">Introducing a new dependency and cost center.</w:t>
      </w:r>
    </w:p>
    <w:p>
      <w:pPr>
        <w:spacing w:after="120"/>
      </w:pPr>
      <w:r>
        <w:rPr>
          <w:b/>
          <w:bCs/>
          <w:sz w:val="22"/>
          <w:szCs w:val="22"/>
        </w:rPr>
        <w:t xml:space="preserve">The risk of migration outweighs the marginal benefits. Supabase Auth can deliver compliance. The gaps are in our implementation, not in the provider’s capabilities.</w:t>
      </w:r>
    </w:p>
    <w:p>
      <w:pPr>
        <w:pStyle w:val="Heading2"/>
      </w:pPr>
      <w:r>
        <w:rPr>
          <w:b/>
          <w:bCs/>
        </w:rPr>
        <w:t xml:space="preserve">2.3 Decision: Supabase Auth Remains the Provider</w:t>
      </w:r>
    </w:p>
    <w:p>
      <w:pPr>
        <w:spacing w:after="120"/>
      </w:pPr>
      <w:r>
        <w:rPr>
          <w:sz w:val="22"/>
          <w:szCs w:val="22"/>
        </w:rPr>
        <w:t xml:space="preserve">Supabase Auth is confirmed as the authentication provider. The implementation must be rebuilt to use its capabilities correctly. This is not a configuration tweak — it is a ground-up reimplementation of the auth boundary.</w:t>
      </w:r>
    </w:p>
    <w:p>
      <w:r>
        <w:br w:type="page"/>
      </w:r>
    </w:p>
    <w:p>
      <w:pPr>
        <w:pStyle w:val="Heading1"/>
      </w:pPr>
      <w:r>
        <w:rPr>
          <w:b/>
          <w:bCs/>
        </w:rPr>
        <w:t xml:space="preserve">3. The Identity Model</w:t>
      </w:r>
    </w:p>
    <w:p>
      <w:pPr>
        <w:spacing w:after="120"/>
      </w:pPr>
      <w:r>
        <w:rPr>
          <w:sz w:val="22"/>
          <w:szCs w:val="22"/>
        </w:rPr>
        <w:t xml:space="preserve">The identity model defines how a login becomes a user, a persona, a module scope, an entity scope, and a set of capabilities. This is the derivation chain that every authenticated request traverses.</w:t>
      </w:r>
    </w:p>
    <w:p>
      <w:pPr>
        <w:pStyle w:val="Heading2"/>
      </w:pPr>
      <w:r>
        <w:rPr>
          <w:b/>
          <w:bCs/>
        </w:rPr>
        <w:t xml:space="preserve">3.1 The Derivation Chain</w:t>
      </w:r>
    </w:p>
    <w:p>
      <w:pPr>
        <w:spacing w:after="120"/>
      </w:pPr>
      <w:r>
        <w:rPr>
          <w:sz w:val="22"/>
          <w:szCs w:val="22"/>
        </w:rPr>
        <w:t xml:space="preserve">Login → Supabase Auth Session → Profile → Role → Capabilities → Module Access → Page Access → Function Access → Data Scope → Entity Scope → Persona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 MFA (TOTP)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session (JWT + refresh token)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server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Session validation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JWT in cookie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Authenticated user (auth.uid())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Middleware (server-side, getUser())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Profile resolution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 table WHERE auth_user_id = auth.uid()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tenant_id, display_name, capabilities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component / middleware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Role → Capabilities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DS-014 capability matrix</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 of structural capabilities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permissions.ts (PDP)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Module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tenant.modules_enabled + role capabilities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modules render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Module-aware PEP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Page access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Capability required per route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pages are accessible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Middleware PEP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Function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 per UI 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buttons/actions are visible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Component-level PEP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 Data scope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 + entity_relationships graph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data rows are visible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RLS policies (database PEP)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Entity scope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profile.entity_id + entity_relationships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entities are in scope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Graph-derived scope resolution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Persona surface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 + module + entity scope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Briefing content, navigation, actions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DS-013 Insight Agent</w:t>
            </w:r>
          </w:p>
        </w:tc>
      </w:tr>
    </w:tbl>
    <w:p>
      <w:pPr>
        <w:pStyle w:val="Heading2"/>
      </w:pPr>
      <w:r>
        <w:rPr>
          <w:b/>
          <w:bCs/>
        </w:rPr>
        <w:t xml:space="preserve">3.2 Entity-to-User Linking</w:t>
      </w:r>
    </w:p>
    <w:p>
      <w:pPr>
        <w:spacing w:after="120"/>
      </w:pPr>
      <w:r>
        <w:rPr>
          <w:sz w:val="22"/>
          <w:szCs w:val="22"/>
        </w:rPr>
        <w:t xml:space="preserve">The gap between “entity in the data” and “user who can log in” must be bridged. An entity (BCL-5001, Fernando Hidalgo Paredes) exists in the entities table as a data record. A user (fernando@bancocumbre.ec) exists in auth.users as a login account. These must be linked for persona surfaces to work.</w:t>
      </w:r>
    </w:p>
    <w:p>
      <w:pPr>
        <w:spacing w:after="120"/>
      </w:pPr>
      <w:r>
        <w:rPr>
          <w:sz w:val="22"/>
          <w:szCs w:val="22"/>
        </w:rPr>
        <w:t xml:space="preserve">The link is through profiles.entity_id → entities.id (nullable). When a tenant admin invites a user and assigns them to an entity, the profile record is created with the entity link. The entity’s data (transactions, results, statements) then becomes visible to that user through RLS policies that traverse the link.</w:t>
      </w:r>
    </w:p>
    <w:p>
      <w:pPr>
        <w:spacing w:after="120"/>
      </w:pPr>
      <w:r>
        <w:rPr>
          <w:sz w:val="22"/>
          <w:szCs w:val="22"/>
        </w:rPr>
        <w:t xml:space="preserve">For managers, the scope extends through entity_relationships: the manager’s entity is linked to their reports’ entities, and RLS policies traverse the graph to determine visible data.</w:t>
      </w:r>
    </w:p>
    <w:p>
      <w:r>
        <w:br w:type="page"/>
      </w:r>
    </w:p>
    <w:p>
      <w:pPr>
        <w:pStyle w:val="Heading1"/>
      </w:pPr>
      <w:r>
        <w:rPr>
          <w:b/>
          <w:bCs/>
        </w:rPr>
        <w:t xml:space="preserve">4. Session Architecture</w:t>
      </w:r>
    </w:p>
    <w:p>
      <w:pPr>
        <w:spacing w:after="120"/>
      </w:pPr>
      <w:r>
        <w:rPr>
          <w:sz w:val="22"/>
          <w:szCs w:val="22"/>
        </w:rPr>
        <w:t xml:space="preserve">Session management is the most critical security control in the platform. Every requirement in this section is derived from SOC 2 CC6, OWASP Session Management Cheat Sheet, and NIST SP 800-63B.</w:t>
      </w:r>
    </w:p>
    <w:p>
      <w:pPr>
        <w:pStyle w:val="Heading2"/>
      </w:pPr>
      <w:r>
        <w:rPr>
          <w:b/>
          <w:bCs/>
        </w:rPr>
        <w:t xml:space="preserve">4.1 Server-Side Session Controls (Supabase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Time-box (absolute)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4-8h for workday apps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re-authenticate daily. Maximum session regardless of activity.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Inactivity timeout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 minutes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 15-30 min for sensitive data</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expires after 30 min with no 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session per 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recent login wins. Prevents session sharing.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JWT expiry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hour (default)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recommendation</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Short-lived access tokens, refreshed via refresh token.</w:t>
            </w:r>
          </w:p>
        </w:tc>
      </w:tr>
    </w:tbl>
    <w:p>
      <w:pPr>
        <w:spacing w:after="120"/>
      </w:pPr>
      <w:r>
        <w:rPr>
          <w:sz w:val="22"/>
          <w:szCs w:val="22"/>
        </w:rPr>
        <w:t xml:space="preserve">These controls are enforced by the Supabase Auth server. No client-side code can override them. Sessions are validated on every refresh token exchange.</w:t>
      </w:r>
    </w:p>
    <w:p>
      <w:pPr>
        <w:pStyle w:val="Heading2"/>
      </w:pPr>
      <w:r>
        <w:rPr>
          <w:b/>
          <w:bCs/>
        </w:rPr>
        <w:t xml:space="preserve">4.2 Cookie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28800 (8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absolute session timeout. Cookie expires when session expires.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secure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true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Cookie transmitted only over HTTPS.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sameSite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CSRF while allowing normal navigation.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httpOnly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Section 4.3</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Requires auth architecture refactoring.</w:t>
            </w:r>
          </w:p>
        </w:tc>
      </w:tr>
    </w:tbl>
    <w:p>
      <w:pPr>
        <w:pStyle w:val="Heading2"/>
      </w:pPr>
      <w:r>
        <w:rPr>
          <w:b/>
          <w:bCs/>
        </w:rPr>
        <w:t xml:space="preserve">4.3 httpOnly Cookie Architecture</w:t>
      </w:r>
    </w:p>
    <w:p>
      <w:pPr>
        <w:spacing w:after="120"/>
      </w:pPr>
      <w:r>
        <w:rPr>
          <w:sz w:val="22"/>
          <w:szCs w:val="22"/>
        </w:rPr>
        <w:t xml:space="preserve">OWASP requires httpOnly cookies to prevent XSS token theft. Supabase’s @supabase/ssr library defaults to httpOnly: false because the browser client needs to read tokens for auto-refresh.</w:t>
      </w:r>
    </w:p>
    <w:p>
      <w:pPr>
        <w:spacing w:after="120"/>
      </w:pPr>
      <w:r>
        <w:rPr>
          <w:sz w:val="22"/>
          <w:szCs w:val="22"/>
        </w:rPr>
        <w:t xml:space="preserve">The compliant architecture separates concerns:</w:t>
      </w:r>
    </w:p>
    <w:p>
      <w:pPr>
        <w:pStyle w:val="ListParagraph"/>
        <w:numPr>
          <w:ilvl w:val="0"/>
          <w:numId w:val="6"/>
        </w:numPr>
        <w:spacing w:after="60"/>
      </w:pPr>
      <w:r>
        <w:rPr>
          <w:sz w:val="22"/>
          <w:szCs w:val="22"/>
        </w:rPr>
        <w:t xml:space="preserve">Middleware (server-side): Reads cookies, validates JWT via getUser(), refreshes tokens, writes updated cookies to response. httpOnly cookies are readable here.</w:t>
      </w:r>
    </w:p>
    <w:p>
      <w:pPr>
        <w:pStyle w:val="ListParagraph"/>
        <w:numPr>
          <w:ilvl w:val="0"/>
          <w:numId w:val="6"/>
        </w:numPr>
        <w:spacing w:after="60"/>
      </w:pPr>
      <w:r>
        <w:rPr>
          <w:sz w:val="22"/>
          <w:szCs w:val="22"/>
        </w:rPr>
        <w:t xml:space="preserve">Server Components: Read cookies via cookies() API, resolve user/role/tenant, pass as props to client components. httpOnly cookies are readable here.</w:t>
      </w:r>
    </w:p>
    <w:p>
      <w:pPr>
        <w:pStyle w:val="ListParagraph"/>
        <w:numPr>
          <w:ilvl w:val="0"/>
          <w:numId w:val="6"/>
        </w:numPr>
        <w:spacing w:after="60"/>
      </w:pPr>
      <w:r>
        <w:rPr>
          <w:sz w:val="22"/>
          <w:szCs w:val="22"/>
        </w:rPr>
        <w:t xml:space="preserve">Client Components: Receive auth state as props from server components. Never read cookies directly. Use the browser Supabase client ONLY for login (signInWithPassword) and logout (signOut) which WRITE cookies.</w:t>
      </w:r>
    </w:p>
    <w:p>
      <w:pPr>
        <w:pStyle w:val="ListParagraph"/>
        <w:numPr>
          <w:ilvl w:val="0"/>
          <w:numId w:val="6"/>
        </w:numPr>
        <w:spacing w:after="60"/>
      </w:pPr>
      <w:r>
        <w:rPr>
          <w:sz w:val="22"/>
          <w:szCs w:val="22"/>
        </w:rPr>
        <w:t xml:space="preserve">API Routes: Read cookies server-side, validate JWT, execute authenticated operations.</w:t>
      </w:r>
    </w:p>
    <w:p>
      <w:pPr>
        <w:spacing w:after="120"/>
      </w:pPr>
      <w:r>
        <w:rPr>
          <w:sz w:val="22"/>
          <w:szCs w:val="22"/>
        </w:rPr>
        <w:t xml:space="preserve">The key insight: the browser client only needs to WRITE cookies (during login) and DELETE cookies (during logout). It never needs to READ them for ongoing session management. The middleware and server components handle all session validation and token refresh.</w:t>
      </w:r>
    </w:p>
    <w:p>
      <w:pPr>
        <w:spacing w:after="120"/>
      </w:pPr>
      <w:r>
        <w:rPr>
          <w:sz w:val="22"/>
          <w:szCs w:val="22"/>
        </w:rPr>
        <w:t xml:space="preserve">This requires refactoring the auth context from a cookie-reading client-side provider to a thin wrapper around server-provided props. Every component that currently calls useAuth() to get the user must instead receive the user from a Server Component parent.</w:t>
      </w:r>
    </w:p>
    <w:p>
      <w:pPr>
        <w:pStyle w:val="Heading2"/>
      </w:pPr>
      <w:r>
        <w:rPr>
          <w:b/>
          <w:bCs/>
        </w:rPr>
        <w:t xml:space="preserve">4.4 signOut Architecture</w:t>
      </w:r>
    </w:p>
    <w:p>
      <w:pPr>
        <w:spacing w:after="120"/>
      </w:pPr>
      <w:r>
        <w:rPr>
          <w:sz w:val="22"/>
          <w:szCs w:val="22"/>
        </w:rPr>
        <w:t xml:space="preserve">Logout must revoke all sessions server-side (SOC 2 CC6 requirement).</w:t>
      </w:r>
    </w:p>
    <w:p>
      <w:pPr>
        <w:pStyle w:val="ListParagraph"/>
        <w:numPr>
          <w:ilvl w:val="0"/>
          <w:numId w:val="2"/>
        </w:numPr>
        <w:spacing w:after="60"/>
      </w:pPr>
      <w:r>
        <w:rPr>
          <w:sz w:val="22"/>
          <w:szCs w:val="22"/>
        </w:rPr>
        <w:t xml:space="preserve">Primary: signOut({ scope: ‘global’ }) — revokes ALL refresh tokens on Supabase server.</w:t>
      </w:r>
    </w:p>
    <w:p>
      <w:pPr>
        <w:pStyle w:val="ListParagraph"/>
        <w:numPr>
          <w:ilvl w:val="0"/>
          <w:numId w:val="2"/>
        </w:numPr>
        <w:spacing w:after="60"/>
      </w:pPr>
      <w:r>
        <w:rPr>
          <w:sz w:val="22"/>
          <w:szCs w:val="22"/>
        </w:rPr>
        <w:t xml:space="preserve">Fallback: If global signOut fails (network error), fall back to signOut({ scope: ‘local’ }) with a warning.</w:t>
      </w:r>
    </w:p>
    <w:p>
      <w:pPr>
        <w:pStyle w:val="ListParagraph"/>
        <w:numPr>
          <w:ilvl w:val="0"/>
          <w:numId w:val="2"/>
        </w:numPr>
        <w:spacing w:after="60"/>
      </w:pPr>
      <w:r>
        <w:rPr>
          <w:sz w:val="22"/>
          <w:szCs w:val="22"/>
        </w:rPr>
        <w:t xml:space="preserve">Cookie cleanup: Clear all sb-* cookies and localStorage entries.</w:t>
      </w:r>
    </w:p>
    <w:p>
      <w:pPr>
        <w:pStyle w:val="ListParagraph"/>
        <w:numPr>
          <w:ilvl w:val="0"/>
          <w:numId w:val="2"/>
        </w:numPr>
        <w:spacing w:after="60"/>
      </w:pPr>
      <w:r>
        <w:rPr>
          <w:sz w:val="22"/>
          <w:szCs w:val="22"/>
        </w:rPr>
        <w:t xml:space="preserve">Redirect: Navigate to /login after signOut completes.</w:t>
      </w:r>
    </w:p>
    <w:p>
      <w:pPr>
        <w:pStyle w:val="Heading2"/>
      </w:pPr>
      <w:r>
        <w:rPr>
          <w:b/>
          <w:bCs/>
        </w:rPr>
        <w:t xml:space="preserve">4.5 Session Expiry Notification</w:t>
      </w:r>
    </w:p>
    <w:p>
      <w:pPr>
        <w:spacing w:after="120"/>
      </w:pPr>
      <w:r>
        <w:rPr>
          <w:sz w:val="22"/>
          <w:szCs w:val="22"/>
        </w:rPr>
        <w:t xml:space="preserve">When a session approaches its idle timeout, the platform warns the user. This is a courtesy notification — the server enforces the timeout regardless.</w:t>
      </w:r>
    </w:p>
    <w:p>
      <w:pPr>
        <w:pStyle w:val="ListParagraph"/>
        <w:numPr>
          <w:ilvl w:val="0"/>
          <w:numId w:val="3"/>
        </w:numPr>
        <w:spacing w:after="60"/>
      </w:pPr>
      <w:r>
        <w:rPr>
          <w:sz w:val="22"/>
          <w:szCs w:val="22"/>
        </w:rPr>
        <w:t xml:space="preserve">At 25 minutes of inactivity (5 minutes before 30-minute timeout): Display a non-intrusive banner.</w:t>
      </w:r>
    </w:p>
    <w:p>
      <w:pPr>
        <w:pStyle w:val="ListParagraph"/>
        <w:numPr>
          <w:ilvl w:val="0"/>
          <w:numId w:val="3"/>
        </w:numPr>
        <w:spacing w:after="60"/>
      </w:pPr>
      <w:r>
        <w:rPr>
          <w:sz w:val="22"/>
          <w:szCs w:val="22"/>
        </w:rPr>
        <w:t xml:space="preserve">The banner offers “Stay logged in” (which triggers an API call that refreshes the session) or “Log out”.</w:t>
      </w:r>
    </w:p>
    <w:p>
      <w:pPr>
        <w:pStyle w:val="ListParagraph"/>
        <w:numPr>
          <w:ilvl w:val="0"/>
          <w:numId w:val="3"/>
        </w:numPr>
        <w:spacing w:after="60"/>
      </w:pPr>
      <w:r>
        <w:rPr>
          <w:sz w:val="22"/>
          <w:szCs w:val="22"/>
        </w:rPr>
        <w:t xml:space="preserve">If the user takes no action, the server-side timeout expires and the next request redirects to /login.</w:t>
      </w:r>
    </w:p>
    <w:p>
      <w:r>
        <w:br w:type="page"/>
      </w:r>
    </w:p>
    <w:p>
      <w:pPr>
        <w:pStyle w:val="Heading1"/>
      </w:pPr>
      <w:r>
        <w:rPr>
          <w:b/>
          <w:bCs/>
        </w:rPr>
        <w:t xml:space="preserve">5. Multi-Factor Authentication</w:t>
      </w:r>
    </w:p>
    <w:p>
      <w:pPr>
        <w:spacing w:after="120"/>
      </w:pPr>
      <w:r>
        <w:rPr>
          <w:sz w:val="22"/>
          <w:szCs w:val="22"/>
        </w:rPr>
        <w:t xml:space="preserve">MFA is required for SOC 2 compliance when handling financial data. Supabase Auth provides TOTP (app authenticator) and Phone (SMS) as second factors.</w:t>
      </w:r>
    </w:p>
    <w:p>
      <w:pPr>
        <w:pStyle w:val="Heading2"/>
      </w:pPr>
      <w:r>
        <w:rPr>
          <w:b/>
          <w:bCs/>
        </w:rPr>
        <w:t xml:space="preserve">5.1 MFA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MFA Requirement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(enforced)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 Admin has cross-tenant access to all financial data.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Required (enforced)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 admin imports data, runs calculations, manages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(prompted)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 team performance and payouts. Prompted on first login.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member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(available)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Views own compensation. Available but not forced.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(available)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Available but not forced.</w:t>
            </w:r>
          </w:p>
        </w:tc>
      </w:tr>
    </w:tbl>
    <w:p>
      <w:pPr>
        <w:pStyle w:val="Heading2"/>
      </w:pPr>
      <w:r>
        <w:rPr>
          <w:b/>
          <w:bCs/>
        </w:rPr>
        <w:t xml:space="preserve">5.2 MFA Enrollment Flow</w:t>
      </w:r>
    </w:p>
    <w:p>
      <w:pPr>
        <w:spacing w:after="120"/>
      </w:pPr>
      <w:r>
        <w:rPr>
          <w:sz w:val="22"/>
          <w:szCs w:val="22"/>
        </w:rPr>
        <w:t xml:space="preserve">After successful email/password login, the platform checks the user’s AAL level. If aal1 (no MFA) and the role requires MFA, the user is redirected to the MFA enrollment page before accessing any platform content.</w:t>
      </w:r>
    </w:p>
    <w:p>
      <w:pPr>
        <w:pStyle w:val="ListParagraph"/>
        <w:numPr>
          <w:ilvl w:val="0"/>
          <w:numId w:val="4"/>
        </w:numPr>
        <w:spacing w:after="60"/>
      </w:pPr>
      <w:r>
        <w:rPr>
          <w:sz w:val="22"/>
          <w:szCs w:val="22"/>
        </w:rPr>
        <w:t xml:space="preserve">Enrollment page displays QR code from supabase.auth.mfa.enroll().</w:t>
      </w:r>
    </w:p>
    <w:p>
      <w:pPr>
        <w:pStyle w:val="ListParagraph"/>
        <w:numPr>
          <w:ilvl w:val="0"/>
          <w:numId w:val="4"/>
        </w:numPr>
        <w:spacing w:after="60"/>
      </w:pPr>
      <w:r>
        <w:rPr>
          <w:sz w:val="22"/>
          <w:szCs w:val="22"/>
        </w:rPr>
        <w:t xml:space="preserve">User scans with authenticator app (Google Authenticator, Authy, 1Password).</w:t>
      </w:r>
    </w:p>
    <w:p>
      <w:pPr>
        <w:pStyle w:val="ListParagraph"/>
        <w:numPr>
          <w:ilvl w:val="0"/>
          <w:numId w:val="4"/>
        </w:numPr>
        <w:spacing w:after="60"/>
      </w:pPr>
      <w:r>
        <w:rPr>
          <w:sz w:val="22"/>
          <w:szCs w:val="22"/>
        </w:rPr>
        <w:t xml:space="preserve">User enters the 6-digit code to verify enrollment.</w:t>
      </w:r>
    </w:p>
    <w:p>
      <w:pPr>
        <w:pStyle w:val="ListParagraph"/>
        <w:numPr>
          <w:ilvl w:val="0"/>
          <w:numId w:val="4"/>
        </w:numPr>
        <w:spacing w:after="60"/>
      </w:pPr>
      <w:r>
        <w:rPr>
          <w:sz w:val="22"/>
          <w:szCs w:val="22"/>
        </w:rPr>
        <w:t xml:space="preserve">On success, AAL upgrades to aal2 and the user proceeds to the platform.</w:t>
      </w:r>
    </w:p>
    <w:p>
      <w:pPr>
        <w:pStyle w:val="ListParagraph"/>
        <w:numPr>
          <w:ilvl w:val="0"/>
          <w:numId w:val="4"/>
        </w:numPr>
        <w:spacing w:after="60"/>
      </w:pPr>
      <w:r>
        <w:rPr>
          <w:sz w:val="22"/>
          <w:szCs w:val="22"/>
        </w:rPr>
        <w:t xml:space="preserve">Subsequent logins: after password, the MFA challenge page appears automatically.</w:t>
      </w:r>
    </w:p>
    <w:p>
      <w:pPr>
        <w:pStyle w:val="Heading2"/>
      </w:pPr>
      <w:r>
        <w:rPr>
          <w:b/>
          <w:bCs/>
        </w:rPr>
        <w:t xml:space="preserve">5.3 Step-Up Authentication</w:t>
      </w:r>
    </w:p>
    <w:p>
      <w:pPr>
        <w:spacing w:after="120"/>
      </w:pPr>
      <w:r>
        <w:rPr>
          <w:sz w:val="22"/>
          <w:szCs w:val="22"/>
        </w:rPr>
        <w:t xml:space="preserve">Sensitive operations require aal2 even if the session was established at aal1. The middleware checks the JWT’s aal claim before allowing:</w:t>
      </w:r>
    </w:p>
    <w:p>
      <w:pPr>
        <w:pStyle w:val="ListParagraph"/>
        <w:numPr>
          <w:ilvl w:val="0"/>
          <w:numId w:val="5"/>
        </w:numPr>
        <w:spacing w:after="60"/>
      </w:pPr>
      <w:r>
        <w:rPr>
          <w:sz w:val="22"/>
          <w:szCs w:val="22"/>
        </w:rPr>
        <w:t xml:space="preserve">Advancing lifecycle to POSTED (finalizing payouts)</w:t>
      </w:r>
    </w:p>
    <w:p>
      <w:pPr>
        <w:pStyle w:val="ListParagraph"/>
        <w:numPr>
          <w:ilvl w:val="0"/>
          <w:numId w:val="5"/>
        </w:numPr>
        <w:spacing w:after="60"/>
      </w:pPr>
      <w:r>
        <w:rPr>
          <w:sz w:val="22"/>
          <w:szCs w:val="22"/>
        </w:rPr>
        <w:t xml:space="preserve">Exporting payroll data</w:t>
      </w:r>
    </w:p>
    <w:p>
      <w:pPr>
        <w:pStyle w:val="ListParagraph"/>
        <w:numPr>
          <w:ilvl w:val="0"/>
          <w:numId w:val="5"/>
        </w:numPr>
        <w:spacing w:after="60"/>
      </w:pPr>
      <w:r>
        <w:rPr>
          <w:sz w:val="22"/>
          <w:szCs w:val="22"/>
        </w:rPr>
        <w:t xml:space="preserve">Modifying plan components or rates</w:t>
      </w:r>
    </w:p>
    <w:p>
      <w:pPr>
        <w:pStyle w:val="ListParagraph"/>
        <w:numPr>
          <w:ilvl w:val="0"/>
          <w:numId w:val="5"/>
        </w:numPr>
        <w:spacing w:after="60"/>
      </w:pPr>
      <w:r>
        <w:rPr>
          <w:sz w:val="22"/>
          <w:szCs w:val="22"/>
        </w:rPr>
        <w:t xml:space="preserve">Managing users (inviting, changing roles)</w:t>
      </w:r>
    </w:p>
    <w:p>
      <w:pPr>
        <w:pStyle w:val="ListParagraph"/>
        <w:numPr>
          <w:ilvl w:val="0"/>
          <w:numId w:val="5"/>
        </w:numPr>
        <w:spacing w:after="60"/>
      </w:pPr>
      <w:r>
        <w:rPr>
          <w:sz w:val="22"/>
          <w:szCs w:val="22"/>
        </w:rPr>
        <w:t xml:space="preserve">Deleting data or entities</w:t>
      </w:r>
    </w:p>
    <w:p>
      <w:pPr>
        <w:spacing w:after="120"/>
      </w:pPr>
      <w:r>
        <w:rPr>
          <w:sz w:val="22"/>
          <w:szCs w:val="22"/>
        </w:rPr>
        <w:t xml:space="preserve">If the user’s current AAL is aal1 and the operation requires aal2, the platform presents the MFA challenge inline before proceeding. This is step-up authentication — re-verification at the moment of action.</w:t>
      </w:r>
    </w:p>
    <w:p>
      <w:r>
        <w:br w:type="page"/>
      </w:r>
    </w:p>
    <w:p>
      <w:pPr>
        <w:pStyle w:val="Heading1"/>
      </w:pPr>
      <w:r>
        <w:rPr>
          <w:b/>
          <w:bCs/>
        </w:rPr>
        <w:t xml:space="preserve">6. Permission Derivation Chain</w:t>
      </w:r>
    </w:p>
    <w:p>
      <w:pPr>
        <w:spacing w:after="120"/>
      </w:pPr>
      <w:r>
        <w:rPr>
          <w:sz w:val="22"/>
          <w:szCs w:val="22"/>
        </w:rPr>
        <w:t xml:space="preserve">DS-014 defines five canonical roles and a capability matrix. DS-019 specifies how these are enforced through the authenticated session at every layer.</w:t>
      </w:r>
    </w:p>
    <w:p>
      <w:pPr>
        <w:pStyle w:val="Heading2"/>
      </w:pPr>
      <w:r>
        <w:rPr>
          <w:b/>
          <w:bCs/>
        </w:rPr>
        <w:t xml:space="preserve">6.1 Single Policy Decision Point (PDP)</w:t>
      </w:r>
    </w:p>
    <w:p>
      <w:pPr>
        <w:spacing w:after="120"/>
      </w:pPr>
      <w:r>
        <w:rPr>
          <w:sz w:val="22"/>
          <w:szCs w:val="22"/>
        </w:rPr>
        <w:t xml:space="preserve">One function, one source of truth. The PDP is permissions.ts as defined in DS-014 Section 5.1. It takes a role and returns the set of capabilities. Every enforcement point calls this function — no independent permission logic anywhere.</w:t>
      </w:r>
    </w:p>
    <w:p>
      <w:pPr>
        <w:pStyle w:val="Heading2"/>
      </w:pPr>
      <w:r>
        <w:rPr>
          <w:b/>
          <w:bCs/>
        </w:rPr>
        <w:t xml:space="preserve">6.2 Four Policy Enforcement Points (PEPs)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PEP</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(Next.js)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access, AAL level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JWT, resolves role from profiles, checks capability for route. Redirects to /login or /unauthorized.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Server Component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Server (Next.js)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Page content, data fetching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Resolves user context, checks capabilities before fetching data, passes only authorized data as props.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element visibility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capabilities as props. Hides/shows buttons, actions, sections. Never fetches data independently.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Database RLS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Row-level data access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auth.uid() → profiles.tenant_id for tenant isolation. Role + entity_relationships for scope.</w:t>
            </w:r>
          </w:p>
        </w:tc>
      </w:tr>
    </w:tbl>
    <w:p>
      <w:pPr>
        <w:pStyle w:val="Heading2"/>
      </w:pPr>
      <w:r>
        <w:rPr>
          <w:b/>
          <w:bCs/>
        </w:rPr>
        <w:t xml:space="preserve">6.3 Module-Aware Permissions</w:t>
      </w:r>
    </w:p>
    <w:p>
      <w:pPr>
        <w:spacing w:after="120"/>
      </w:pPr>
      <w:r>
        <w:rPr>
          <w:sz w:val="22"/>
          <w:szCs w:val="22"/>
        </w:rPr>
        <w:t xml:space="preserve">Each tenant has modules_enabled (e.g., [icm], [icm, frmx]). The permission check is: hasCapability(role, capability) AND module_enabled(tenant, module). A user with the calculate capability in an ICM-only tenant cannot access Financial module pages.</w:t>
      </w:r>
    </w:p>
    <w:p>
      <w:pPr>
        <w:spacing w:after="120"/>
      </w:pPr>
      <w:r>
        <w:rPr>
          <w:sz w:val="22"/>
          <w:szCs w:val="22"/>
        </w:rPr>
        <w:t xml:space="preserve">Korean Test compliance: Capabilities are structural (can_calculate, can_import, can_approve), not domain-specific (can_calculate_commissions). The module filter is applied at the PEP level, not embedded in capability names.</w:t>
      </w:r>
    </w:p>
    <w:p>
      <w:r>
        <w:br w:type="page"/>
      </w:r>
    </w:p>
    <w:p>
      <w:pPr>
        <w:pStyle w:val="Heading1"/>
      </w:pPr>
      <w:r>
        <w:rPr>
          <w:b/>
          <w:bCs/>
        </w:rPr>
        <w:t xml:space="preserve">7. Persona Resolution</w:t>
      </w:r>
    </w:p>
    <w:p>
      <w:pPr>
        <w:spacing w:after="120"/>
      </w:pPr>
      <w:r>
        <w:rPr>
          <w:sz w:val="22"/>
          <w:szCs w:val="22"/>
        </w:rPr>
        <w:t xml:space="preserve">DS-013 defines the briefing-first model: every user sees an intelligent, persona-adapted surface generated by the Insight Agent. The persona is derived from the authenticated session.</w:t>
      </w:r>
    </w:p>
    <w:p>
      <w:pPr>
        <w:pStyle w:val="Heading2"/>
      </w:pPr>
      <w:r>
        <w:rPr>
          <w:b/>
          <w:bCs/>
        </w:rPr>
        <w:t xml:space="preserve">7.1 Persona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profiles.role via auth session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persona (admin/manager/member/viewer)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Entity link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profiles.entity_id → entities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Entity context (who am I in the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relationships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entity_relationships graph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(who reports to me? Who do I report to?)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Module context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tenant.modules_enabled</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domain intelligence to surface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CRL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periods, data completeness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intelligence is available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Lifecycle state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Latest calculation batch lifecycle_state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 actions are timely</w:t>
            </w:r>
          </w:p>
        </w:tc>
      </w:tr>
    </w:tbl>
    <w:p>
      <w:pPr>
        <w:pStyle w:val="Heading2"/>
      </w:pPr>
      <w:r>
        <w:rPr>
          <w:b/>
          <w:bCs/>
        </w:rPr>
        <w:t xml:space="preserve">7.2 Persona Surfaces</w:t>
      </w:r>
    </w:p>
    <w:p>
      <w:pPr>
        <w:spacing w:after="120"/>
      </w:pPr>
      <w:r>
        <w:rPr>
          <w:sz w:val="22"/>
          <w:szCs w:val="22"/>
        </w:rPr>
        <w:t xml:space="preserve">Each persona sees the Intelligence Stream (/stream) with different content, different actions, and different navigation:</w:t>
      </w:r>
    </w:p>
    <w:p>
      <w:pPr>
        <w:pStyle w:val="ListParagraph"/>
        <w:numPr>
          <w:ilvl w:val="0"/>
          <w:numId w:val="6"/>
        </w:numPr>
        <w:spacing w:after="60"/>
      </w:pPr>
      <w:r>
        <w:rPr>
          <w:sz w:val="22"/>
          <w:szCs w:val="22"/>
        </w:rPr>
        <w:t xml:space="preserve">Admin: Full briefing. All entities, all components, all lifecycle controls. Import, calculate, approve, post, export.</w:t>
      </w:r>
    </w:p>
    <w:p>
      <w:pPr>
        <w:pStyle w:val="ListParagraph"/>
        <w:numPr>
          <w:ilvl w:val="0"/>
          <w:numId w:val="6"/>
        </w:numPr>
        <w:spacing w:after="60"/>
      </w:pPr>
      <w:r>
        <w:rPr>
          <w:sz w:val="22"/>
          <w:szCs w:val="22"/>
        </w:rPr>
        <w:t xml:space="preserve">Manager: Team briefing. Team entities, team performance, team trajectory. Approve team results, coaching intelligence.</w:t>
      </w:r>
    </w:p>
    <w:p>
      <w:pPr>
        <w:pStyle w:val="ListParagraph"/>
        <w:numPr>
          <w:ilvl w:val="0"/>
          <w:numId w:val="6"/>
        </w:numPr>
        <w:spacing w:after="60"/>
      </w:pPr>
      <w:r>
        <w:rPr>
          <w:sz w:val="22"/>
          <w:szCs w:val="22"/>
        </w:rPr>
        <w:t xml:space="preserve">Member: My compensation. Own results, own statements, own disputes. View-only except for dispute submission.</w:t>
      </w:r>
    </w:p>
    <w:p>
      <w:pPr>
        <w:pStyle w:val="ListParagraph"/>
        <w:numPr>
          <w:ilvl w:val="0"/>
          <w:numId w:val="6"/>
        </w:numPr>
        <w:spacing w:after="60"/>
      </w:pPr>
      <w:r>
        <w:rPr>
          <w:sz w:val="22"/>
          <w:szCs w:val="22"/>
        </w:rPr>
        <w:t xml:space="preserve">Viewer: Read-only briefing. Scoped data, no actions.</w:t>
      </w:r>
    </w:p>
    <w:p>
      <w:r>
        <w:br w:type="page"/>
      </w:r>
    </w:p>
    <w:p>
      <w:pPr>
        <w:pStyle w:val="Heading1"/>
      </w:pPr>
      <w:r>
        <w:rPr>
          <w:b/>
          <w:bCs/>
        </w:rPr>
        <w:t xml:space="preserve">8. Audit Logging</w:t>
      </w:r>
    </w:p>
    <w:p>
      <w:pPr>
        <w:spacing w:after="120"/>
      </w:pPr>
      <w:r>
        <w:rPr>
          <w:sz w:val="22"/>
          <w:szCs w:val="22"/>
        </w:rPr>
        <w:t xml:space="preserve">SOC 2 requires every access decision to be auditable. Every auth event must be logged with: who, what, when, from where, and the outcome.</w:t>
      </w:r>
    </w:p>
    <w:p>
      <w:pPr>
        <w:pStyle w:val="Heading2"/>
      </w:pPr>
      <w:r>
        <w:rPr>
          <w:b/>
          <w:bCs/>
        </w:rPr>
        <w:t xml:space="preserve">8.1 Events to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Captured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(success)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email, timestamp, IP, user_agent, MFA used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Login (failure)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 attempted, timestamp, IP, user_agent, failure reason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enrollment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factor_type, 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MFA challenge (success/failure)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 factor_id, timestamp, outcome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scope (global/local), 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refresh</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 session_id, old_token_iat, new_token_iat</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expiry (idle/absolute)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session_id, reason, 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Permission denied</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 route/action attempted, capability missing</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change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old_role, new_role, changed_by, 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Sensitive action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 action, AAL level, timestamp</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platform_events</w:t>
            </w:r>
          </w:p>
        </w:tc>
      </w:tr>
    </w:tbl>
    <w:p>
      <w:pPr>
        <w:spacing w:after="120"/>
      </w:pPr>
      <w:r>
        <w:rPr>
          <w:sz w:val="22"/>
          <w:szCs w:val="22"/>
        </w:rPr>
        <w:t xml:space="preserve">Auth Hooks (Supabase) can capture login/logout/refresh events server-side and write to platform_events. Permission denied events are captured at the PEP layer.</w:t>
      </w:r>
    </w:p>
    <w:p>
      <w:r>
        <w:br w:type="page"/>
      </w:r>
    </w:p>
    <w:p>
      <w:pPr>
        <w:pStyle w:val="Heading1"/>
      </w:pPr>
      <w:r>
        <w:rPr>
          <w:b/>
          <w:bCs/>
        </w:rPr>
        <w:t xml:space="preserve">9. Compliance Mapping</w:t>
      </w:r>
    </w:p>
    <w:p>
      <w:pPr>
        <w:spacing w:after="120"/>
      </w:pPr>
      <w:r>
        <w:rPr>
          <w:sz w:val="22"/>
          <w:szCs w:val="22"/>
        </w:rPr>
        <w:t xml:space="preserve">Every design decision in DS-019 maps to a specific compliance requirement. This section provides the auditable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DS-019 Section</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idle 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 / OWASP / 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Dashboard: 30 min inactivity timeout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absolute timeout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 / OWASP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4.1</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Dashboard: 8 hour time-box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session enforcement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 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server validates on every refresh</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Cookie security attributes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OWASP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4.2</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secure, sameSite:lax, maxAge:8h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httpOnly cookies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session resolution, client receives props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Server-side session revocation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4.4</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signOut scope:global with 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Multi-factor authentication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TOTP via Supabase MFA API, role-based enforcement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Step-up auth for sensitive ops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5.3</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AAL check before lifecycle, export, user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PDP, multiple PEPs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DS-014 / Decision 126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permissions.ts + 4 enforcement points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 logging of auth events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CC6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8.1</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 Hooks + platform_events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Least privilege by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 / DS-014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capabilities until role assigns them</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 data isolation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SOC 2 / RLS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6.2</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auth.uid() → tenant_id in all RLS policies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session per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CC6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Dashboard: single session enabled</w:t>
            </w:r>
          </w:p>
        </w:tc>
      </w:tr>
    </w:tbl>
    <w:p>
      <w:r>
        <w:br w:type="page"/>
      </w:r>
    </w:p>
    <w:p>
      <w:pPr>
        <w:pStyle w:val="Heading1"/>
      </w:pPr>
      <w:r>
        <w:rPr>
          <w:b/>
          <w:bCs/>
        </w:rPr>
        <w:t xml:space="preserve">10. Migration Path</w:t>
      </w:r>
    </w:p>
    <w:p>
      <w:pPr>
        <w:spacing w:after="120"/>
      </w:pPr>
      <w:r>
        <w:rPr>
          <w:sz w:val="22"/>
          <w:szCs w:val="22"/>
        </w:rPr>
        <w:t xml:space="preserve">The current auth implementation must be rebuilt. This section specifies the migration from current state to compliant state, preserving existing RLS and data.</w:t>
      </w:r>
    </w:p>
    <w:p>
      <w:pPr>
        <w:pStyle w:val="Heading2"/>
      </w:pPr>
      <w:r>
        <w:rPr>
          <w:b/>
          <w:bCs/>
        </w:rPr>
        <w:t xml:space="preserve">10.1 What Stays</w:t>
      </w:r>
    </w:p>
    <w:p>
      <w:pPr>
        <w:pStyle w:val="ListParagraph"/>
        <w:numPr>
          <w:ilvl w:val="0"/>
          <w:numId w:val="2"/>
        </w:numPr>
        <w:spacing w:after="60"/>
      </w:pPr>
      <w:r>
        <w:rPr>
          <w:sz w:val="22"/>
          <w:szCs w:val="22"/>
        </w:rPr>
        <w:t xml:space="preserve">Supabase Auth as the provider (confirmed in Section 2.3)</w:t>
      </w:r>
    </w:p>
    <w:p>
      <w:pPr>
        <w:pStyle w:val="ListParagraph"/>
        <w:numPr>
          <w:ilvl w:val="0"/>
          <w:numId w:val="2"/>
        </w:numPr>
        <w:spacing w:after="60"/>
      </w:pPr>
      <w:r>
        <w:rPr>
          <w:sz w:val="22"/>
          <w:szCs w:val="22"/>
        </w:rPr>
        <w:t xml:space="preserve">All existing RLS policies (auth.uid() chain unchanged)</w:t>
      </w:r>
    </w:p>
    <w:p>
      <w:pPr>
        <w:pStyle w:val="ListParagraph"/>
        <w:numPr>
          <w:ilvl w:val="0"/>
          <w:numId w:val="2"/>
        </w:numPr>
        <w:spacing w:after="60"/>
      </w:pPr>
      <w:r>
        <w:rPr>
          <w:sz w:val="22"/>
          <w:szCs w:val="22"/>
        </w:rPr>
        <w:t xml:space="preserve">Existing user accounts in auth.users</w:t>
      </w:r>
    </w:p>
    <w:p>
      <w:pPr>
        <w:pStyle w:val="ListParagraph"/>
        <w:numPr>
          <w:ilvl w:val="0"/>
          <w:numId w:val="2"/>
        </w:numPr>
        <w:spacing w:after="60"/>
      </w:pPr>
      <w:r>
        <w:rPr>
          <w:sz w:val="22"/>
          <w:szCs w:val="22"/>
        </w:rPr>
        <w:t xml:space="preserve">Existing profiles table structure</w:t>
      </w:r>
    </w:p>
    <w:p>
      <w:pPr>
        <w:pStyle w:val="ListParagraph"/>
        <w:numPr>
          <w:ilvl w:val="0"/>
          <w:numId w:val="2"/>
        </w:numPr>
        <w:spacing w:after="60"/>
      </w:pPr>
      <w:r>
        <w:rPr>
          <w:sz w:val="22"/>
          <w:szCs w:val="22"/>
        </w:rPr>
        <w:t xml:space="preserve">Middleware as the primary server-side auth gate</w:t>
      </w:r>
    </w:p>
    <w:p>
      <w:pPr>
        <w:pStyle w:val="ListParagraph"/>
        <w:numPr>
          <w:ilvl w:val="0"/>
          <w:numId w:val="2"/>
        </w:numPr>
        <w:spacing w:after="60"/>
      </w:pPr>
      <w:r>
        <w:rPr>
          <w:sz w:val="22"/>
          <w:szCs w:val="22"/>
        </w:rPr>
        <w:t xml:space="preserve">Entity model and entity_relationships graph</w:t>
      </w:r>
    </w:p>
    <w:p>
      <w:pPr>
        <w:pStyle w:val="Heading2"/>
      </w:pPr>
      <w:r>
        <w:rPr>
          <w:b/>
          <w:bCs/>
        </w:rPr>
        <w:t xml:space="preserve">10.2 What Changes</w:t>
      </w:r>
    </w:p>
    <w:p>
      <w:pPr>
        <w:pStyle w:val="ListParagraph"/>
        <w:numPr>
          <w:ilvl w:val="0"/>
          <w:numId w:val="3"/>
        </w:numPr>
        <w:spacing w:after="60"/>
      </w:pPr>
      <w:r>
        <w:rPr>
          <w:sz w:val="22"/>
          <w:szCs w:val="22"/>
        </w:rPr>
        <w:t xml:space="preserve">Supabase Dashboard session settings (time-box, idle, single session)</w:t>
      </w:r>
    </w:p>
    <w:p>
      <w:pPr>
        <w:pStyle w:val="ListParagraph"/>
        <w:numPr>
          <w:ilvl w:val="0"/>
          <w:numId w:val="3"/>
        </w:numPr>
        <w:spacing w:after="60"/>
      </w:pPr>
      <w:r>
        <w:rPr>
          <w:sz w:val="22"/>
          <w:szCs w:val="22"/>
        </w:rPr>
        <w:t xml:space="preserve">Cookie configuration (maxAge, secure, sameSite)</w:t>
      </w:r>
    </w:p>
    <w:p>
      <w:pPr>
        <w:pStyle w:val="ListParagraph"/>
        <w:numPr>
          <w:ilvl w:val="0"/>
          <w:numId w:val="3"/>
        </w:numPr>
        <w:spacing w:after="60"/>
      </w:pPr>
      <w:r>
        <w:rPr>
          <w:sz w:val="22"/>
          <w:szCs w:val="22"/>
        </w:rPr>
        <w:t xml:space="preserve">signOut implementation (scope: global with fallback)</w:t>
      </w:r>
    </w:p>
    <w:p>
      <w:pPr>
        <w:pStyle w:val="ListParagraph"/>
        <w:numPr>
          <w:ilvl w:val="0"/>
          <w:numId w:val="3"/>
        </w:numPr>
        <w:spacing w:after="60"/>
      </w:pPr>
      <w:r>
        <w:rPr>
          <w:sz w:val="22"/>
          <w:szCs w:val="22"/>
        </w:rPr>
        <w:t xml:space="preserve">Auth context refactored from cookie-reading to server-prop-receiving</w:t>
      </w:r>
    </w:p>
    <w:p>
      <w:pPr>
        <w:pStyle w:val="ListParagraph"/>
        <w:numPr>
          <w:ilvl w:val="0"/>
          <w:numId w:val="3"/>
        </w:numPr>
        <w:spacing w:after="60"/>
      </w:pPr>
      <w:r>
        <w:rPr>
          <w:sz w:val="22"/>
          <w:szCs w:val="22"/>
        </w:rPr>
        <w:t xml:space="preserve">MFA enrollment and challenge flows added</w:t>
      </w:r>
    </w:p>
    <w:p>
      <w:pPr>
        <w:pStyle w:val="ListParagraph"/>
        <w:numPr>
          <w:ilvl w:val="0"/>
          <w:numId w:val="3"/>
        </w:numPr>
        <w:spacing w:after="60"/>
      </w:pPr>
      <w:r>
        <w:rPr>
          <w:sz w:val="22"/>
          <w:szCs w:val="22"/>
        </w:rPr>
        <w:t xml:space="preserve">Step-up auth gates added for sensitive operations</w:t>
      </w:r>
    </w:p>
    <w:p>
      <w:pPr>
        <w:pStyle w:val="ListParagraph"/>
        <w:numPr>
          <w:ilvl w:val="0"/>
          <w:numId w:val="3"/>
        </w:numPr>
        <w:spacing w:after="60"/>
      </w:pPr>
      <w:r>
        <w:rPr>
          <w:sz w:val="22"/>
          <w:szCs w:val="22"/>
        </w:rPr>
        <w:t xml:space="preserve">Session expiry notification added</w:t>
      </w:r>
    </w:p>
    <w:p>
      <w:pPr>
        <w:pStyle w:val="ListParagraph"/>
        <w:numPr>
          <w:ilvl w:val="0"/>
          <w:numId w:val="3"/>
        </w:numPr>
        <w:spacing w:after="60"/>
      </w:pPr>
      <w:r>
        <w:rPr>
          <w:sz w:val="22"/>
          <w:szCs w:val="22"/>
        </w:rPr>
        <w:t xml:space="preserve">Audit logging of auth events via Auth Hooks</w:t>
      </w:r>
    </w:p>
    <w:p>
      <w:pPr>
        <w:pStyle w:val="ListParagraph"/>
        <w:numPr>
          <w:ilvl w:val="0"/>
          <w:numId w:val="3"/>
        </w:numPr>
        <w:spacing w:after="60"/>
      </w:pPr>
      <w:r>
        <w:rPr>
          <w:sz w:val="22"/>
          <w:szCs w:val="22"/>
        </w:rPr>
        <w:t xml:space="preserve">Login page updated for MFA flow</w:t>
      </w:r>
    </w:p>
    <w:p>
      <w:pPr>
        <w:pStyle w:val="Heading2"/>
      </w:pPr>
      <w:r>
        <w:rPr>
          <w:b/>
          <w:bCs/>
        </w:rPr>
        <w:t xml:space="preserve">10.3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Dashboard configuration + cookie hardening + signOut fix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 session controls. No code architecture change.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MFA enrollment and challenge flows</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TOTP MFA for admin and platform roles. Login flow updated.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context refactoring (httpOnly-compatible)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session resolution. Client components receive props.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Step-up authentication for sensitive operations</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AAL check gates on lifecycle, export, user management.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 via Auth Hooks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auth events logged to platform_events.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management UI (invite, assign role, link entity)</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 admin can manage their own users through the platform.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(SAML 2.0) configuration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customers can use Azure AD, Okta, Google Workspace.</w:t>
            </w:r>
          </w:p>
        </w:tc>
      </w:tr>
    </w:tbl>
    <w:p>
      <w:pPr>
        <w:spacing w:after="120"/>
      </w:pPr>
      <w:r>
        <w:rPr>
          <w:sz w:val="22"/>
          <w:szCs w:val="22"/>
        </w:rPr>
        <w:t xml:space="preserve">Phase A is the minimum viable compliance fix. It can be implemented immediately as HF-146 while the architectural phases (B-G) are built as OB-178+.</w:t>
      </w:r>
    </w:p>
    <w:p>
      <w:pPr>
        <w:spacing w:after="120"/>
      </w:pPr>
      <w:r>
        <w:rPr>
          <w:sz w:val="22"/>
          <w:szCs w:val="22"/>
        </w:rPr>
        <w:t xml:space="preserve">Phase C is the most significant refactoring — it changes how every component receives auth state. This must be tested thoroughly as it touches the entire UI surface.</w:t>
      </w:r>
    </w:p>
    <w:p>
      <w:pPr>
        <w:spacing w:after="120"/>
      </w:pPr>
      <w:r>
        <w:rPr>
          <w:sz w:val="22"/>
          <w:szCs w:val="22"/>
        </w:rPr>
        <w:t xml:space="preserve">Phase G (SSO) is deferred until enterprise customers require it, but the architecture is designed to accommodate it without further refactoring.</w:t>
      </w:r>
    </w:p>
    <w:p>
      <w:r>
        <w:br w:type="page"/>
      </w:r>
    </w:p>
    <w:p>
      <w:pPr>
        <w:pStyle w:val="Heading1"/>
      </w:pPr>
      <w:r>
        <w:rPr>
          <w:b/>
          <w:bCs/>
        </w:rPr>
        <w:t xml:space="preserve">11. Decisions for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Security Configuration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timeout 30 min, absolute timeout 8 hours, single session per user. SOC 2 / OWASP / NIST derived. Server-side enforced via Supabase Dashboard.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140</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 Confirmed</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 remains the authentication provider. Migration to external provider rejected — RLS integration too deeply embedded. All compliance requirements achievable within Supabase.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Policy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platform and admin roles. Recommended for manager. Optional for member and viewer. TOTP (app authenticator) as primary factor.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httpOnly Cookie Architecture</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Server-side session resolution. Client components receive auth state as props. Browser client used only for login/logout write operations.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Event Audit Logging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auth events logged to platform_events via Supabase Auth Hooks. Login, logout, MFA, session refresh, permission denied, role change.</w:t>
            </w:r>
          </w:p>
        </w:tc>
      </w:tr>
    </w:tbl>
    <w:p>
      <w:pPr>
        <w:spacing w:before="600"/>
      </w:pPr>
    </w:p>
    <w:p>
      <w:pPr>
        <w:pBdr>
          <w:top w:val="single" w:color="1B2A4A" w:sz="6" w:space="8"/>
        </w:pBdr>
        <w:spacing w:before="200"/>
        <w:jc w:val="center"/>
      </w:pPr>
      <w:r>
        <w:rPr>
          <w:i/>
          <w:iCs/>
          <w:color w:val="888888"/>
          <w:sz w:val="20"/>
          <w:szCs w:val="20"/>
        </w:rPr>
        <w:t xml:space="preserve">vialuce.ai · Intelligence. Acceleration. Performance.</w:t>
      </w:r>
    </w:p>
    <w:p>
      <w:pPr>
        <w:jc w:val="center"/>
      </w:pPr>
      <w:r>
        <w:rPr>
          <w:i/>
          <w:iCs/>
          <w:color w:val="888888"/>
          <w:sz w:val="18"/>
          <w:szCs w:val="18"/>
        </w:rPr>
        <w:t xml:space="preserve">DS-019: Authentication and Identity Architecture · March 19, 2026</w:t>
      </w:r>
    </w:p>
    <w:p>
      <w:pPr>
        <w:spacing w:after="200"/>
        <w:jc w:val="center"/>
      </w:pPr>
      <w:r>
        <w:rPr>
          <w:i/>
          <w:iCs/>
          <w:color w:val="AAAAAA"/>
          <w:sz w:val="18"/>
          <w:szCs w:val="18"/>
        </w:rPr>
        <w:t xml:space="preserve">“Security is not a feature. It is a property that emerges from architecture.” — Decision 123</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pPr>
    <w:r>
      <w:rPr>
        <w:rFonts w:ascii="Arial" w:cs="Arial" w:eastAsia="Arial" w:hAnsi="Arial"/>
        <w:color w:val="888888"/>
        <w:sz w:val="18"/>
        <w:szCs w:val="18"/>
      </w:rPr>
      <w:t xml:space="preserve">DS-019: Authentication and Identity Architecture</w:t>
    </w:r>
    <w:r>
      <w:tab/>
    </w:r>
    <w:r>
      <w:rPr>
        <w:rFonts w:ascii="Arial" w:cs="Arial" w:eastAsia="Arial" w:hAnsi="Arial"/>
        <w:color w:val="888888"/>
        <w:sz w:val="18"/>
        <w:szCs w:val="18"/>
      </w:rPr>
      <w:t xml:space="preserve">vialuce.ai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2026-03-19T15:42:13.356Z</dcterms:created>
  <dcterms:modified xsi:type="dcterms:W3CDTF">2026-03-19T15:42:13.357Z</dcterms:modified>
</cp:coreProperties>
</file>

<file path=docProps/custom.xml><?xml version="1.0" encoding="utf-8"?>
<Properties xmlns="http://schemas.openxmlformats.org/officeDocument/2006/custom-properties" xmlns:vt="http://schemas.openxmlformats.org/officeDocument/2006/docPropsVTypes"/>
</file>