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40"/>
        <w:jc w:val="center"/>
      </w:pPr>
      <w:r>
        <w:rPr>
          <w:rFonts w:ascii="Arial" w:cs="Arial" w:eastAsia="Arial" w:hAnsi="Arial"/>
          <w:b/>
          <w:bCs/>
          <w:color w:val="1B2A4A"/>
          <w:sz w:val="48"/>
          <w:szCs w:val="48"/>
        </w:rPr>
        <w:t xml:space="preserve">VIALUCE</w:t>
      </w:r>
    </w:p>
    <w:p>
      <w:pPr>
        <w:spacing w:after="240"/>
        <w:jc w:val="center"/>
      </w:pPr>
      <w:r>
        <w:rPr>
          <w:rFonts w:ascii="Arial" w:cs="Arial" w:eastAsia="Arial" w:hAnsi="Arial"/>
          <w:i/>
          <w:iCs/>
          <w:color w:val="888888"/>
          <w:sz w:val="22"/>
          <w:szCs w:val="22"/>
        </w:rPr>
        <w:t xml:space="preserve">Intelligence. Acceleration. Performance.</w:t>
      </w:r>
    </w:p>
    <w:p>
      <w:pPr>
        <w:spacing w:after="60"/>
      </w:pPr>
    </w:p>
    <w:p>
      <w:pPr>
        <w:spacing w:after="80"/>
        <w:jc w:val="center"/>
      </w:pPr>
      <w:r>
        <w:rPr>
          <w:rFonts w:ascii="Arial" w:cs="Arial" w:eastAsia="Arial" w:hAnsi="Arial"/>
          <w:b/>
          <w:bCs/>
          <w:color w:val="2E5090"/>
          <w:sz w:val="36"/>
          <w:szCs w:val="36"/>
        </w:rPr>
        <w:t xml:space="preserve">PLATFORM EXPERIENCE ARCHITECTURE</w:t>
      </w:r>
    </w:p>
    <w:p>
      <w:pPr>
        <w:spacing w:after="40"/>
        <w:jc w:val="center"/>
      </w:pPr>
      <w:r>
        <w:rPr>
          <w:rFonts w:ascii="Arial" w:cs="Arial" w:eastAsia="Arial" w:hAnsi="Arial"/>
          <w:i/>
          <w:iCs/>
          <w:color w:val="555555"/>
          <w:sz w:val="24"/>
          <w:szCs w:val="24"/>
        </w:rPr>
        <w:t xml:space="preserve">The Adaptive Intelligence System</w:t>
      </w:r>
    </w:p>
    <w:p>
      <w:pPr>
        <w:spacing w:after="60"/>
      </w:pPr>
    </w:p>
    <w:p>
      <w:pPr>
        <w:spacing w:after="40"/>
        <w:jc w:val="center"/>
      </w:pPr>
      <w:r>
        <w:rPr>
          <w:rFonts w:ascii="Arial" w:cs="Arial" w:eastAsia="Arial" w:hAnsi="Arial"/>
          <w:color w:val="888888"/>
          <w:sz w:val="20"/>
          <w:szCs w:val="20"/>
        </w:rPr>
        <w:t xml:space="preserve">DS-013  |  March 10, 2026  |  v1</w:t>
      </w:r>
    </w:p>
    <w:p>
      <w:pPr>
        <w:jc w:val="center"/>
      </w:pPr>
      <w:r>
        <w:rPr>
          <w:rFonts w:ascii="Arial" w:cs="Arial" w:eastAsia="Arial" w:hAnsi="Arial"/>
          <w:color w:val="888888"/>
          <w:sz w:val="18"/>
          <w:szCs w:val="18"/>
        </w:rPr>
        <w:t xml:space="preserve">Supersedes: DS-011 (Briefing Experience Prototype), DS-001 Section 6 (Persona Surfaces)</w:t>
      </w:r>
    </w:p>
    <w:p>
      <w:pPr>
        <w:jc w:val="center"/>
      </w:pPr>
      <w:r>
        <w:rPr>
          <w:rFonts w:ascii="Arial" w:cs="Arial" w:eastAsia="Arial" w:hAnsi="Arial"/>
          <w:color w:val="888888"/>
          <w:sz w:val="18"/>
          <w:szCs w:val="18"/>
        </w:rPr>
        <w:t xml:space="preserve">Extends: DS-008 Series (Performance Intelligence), DS-003 (Visualization Vocabulary)</w:t>
      </w:r>
    </w:p>
    <w:p>
      <w:pPr>
        <w:jc w:val="center"/>
      </w:pPr>
      <w:r>
        <w:rPr>
          <w:rFonts w:ascii="Arial" w:cs="Arial" w:eastAsia="Arial" w:hAnsi="Arial"/>
          <w:color w:val="888888"/>
          <w:sz w:val="18"/>
          <w:szCs w:val="18"/>
        </w:rPr>
        <w:t xml:space="preserve">Governs: Every surface, every interaction, every navigation path in the platform</w:t>
      </w:r>
    </w:p>
    <w:p>
      <w:pPr>
        <w:spacing w:after="60"/>
      </w:pPr>
    </w:p>
    <w:p>
      <w:pPr>
        <w:spacing w:after="60"/>
      </w:pPr>
    </w:p>
    <w:p>
      <w:pPr>
        <w:pBdr>
          <w:left w:val="single" w:color="2E5090" w:sz="8" w:space="8"/>
        </w:pBdr>
        <w:spacing w:before="120" w:after="120"/>
        <w:ind w:left="480"/>
      </w:pPr>
      <w:r>
        <w:rPr>
          <w:rFonts w:ascii="Arial" w:cs="Arial" w:eastAsia="Arial" w:hAnsi="Arial"/>
          <w:i/>
          <w:iCs/>
          <w:color w:val="2E5090"/>
          <w:sz w:val="20"/>
          <w:szCs w:val="20"/>
        </w:rPr>
        <w:t xml:space="preserve">The GUI paradigm is effectively dead. AI introduces the third UI paradigm in computing history: Intent-Based Outcome Specification. The user tells the computer what outcome they want. The system determines how to achieve it. — Jakob Nielsen, NN/G, 2025</w:t>
      </w:r>
    </w:p>
    <w:p>
      <w:r>
        <w:br w:type="page"/>
      </w:r>
    </w:p>
    <w:p>
      <w:pPr>
        <w:pStyle w:val="Heading1"/>
        <w:spacing w:before="400" w:after="200"/>
      </w:pPr>
      <w:r>
        <w:rPr>
          <w:rFonts w:ascii="Arial" w:cs="Arial" w:eastAsia="Arial" w:hAnsi="Arial"/>
          <w:b/>
          <w:bCs/>
          <w:color w:val="1B2A4A"/>
          <w:sz w:val="32"/>
          <w:szCs w:val="32"/>
        </w:rPr>
        <w:t xml:space="preserve">1. The Paradigm Shift</w:t>
      </w:r>
    </w:p>
    <w:p>
      <w:pPr>
        <w:pStyle w:val="Heading2"/>
        <w:spacing w:before="300" w:after="160"/>
      </w:pPr>
      <w:r>
        <w:rPr>
          <w:rFonts w:ascii="Arial" w:cs="Arial" w:eastAsia="Arial" w:hAnsi="Arial"/>
          <w:b/>
          <w:bCs/>
          <w:color w:val="2E5090"/>
          <w:sz w:val="26"/>
          <w:szCs w:val="26"/>
        </w:rPr>
        <w:t xml:space="preserve">1.1 What vialuce Is Not</w:t>
      </w:r>
    </w:p>
    <w:p>
      <w:pPr>
        <w:spacing w:after="120"/>
      </w:pPr>
      <w:r>
        <w:rPr>
          <w:rFonts w:ascii="Arial" w:cs="Arial" w:eastAsia="Arial" w:hAnsi="Arial"/>
          <w:sz w:val="20"/>
          <w:szCs w:val="20"/>
        </w:rPr>
        <w:t xml:space="preserve">vialuce is not a dashboard application with pages, sidebars, and navigation hierarchies. It is not a collection of charts that display data for humans to interpret. It is not a workflow tool where users navigate to functions they think they need. Every traditional SPM/ICM platform operates this way. Every one of them forces the user to do the cognitive work of finding what matters, deciding what to do, and then navigating to the tool that lets them do it.</w:t>
      </w:r>
    </w:p>
    <w:p>
      <w:pPr>
        <w:pStyle w:val="Heading2"/>
        <w:spacing w:before="300" w:after="160"/>
      </w:pPr>
      <w:r>
        <w:rPr>
          <w:rFonts w:ascii="Arial" w:cs="Arial" w:eastAsia="Arial" w:hAnsi="Arial"/>
          <w:b/>
          <w:bCs/>
          <w:color w:val="2E5090"/>
          <w:sz w:val="26"/>
          <w:szCs w:val="26"/>
        </w:rPr>
        <w:t xml:space="preserve">1.2 What vialuce Is</w:t>
      </w:r>
    </w:p>
    <w:p>
      <w:pPr>
        <w:spacing w:after="120"/>
      </w:pPr>
      <w:r>
        <w:rPr>
          <w:rFonts w:ascii="Arial" w:cs="Arial" w:eastAsia="Arial" w:hAnsi="Arial"/>
          <w:sz w:val="20"/>
          <w:szCs w:val="20"/>
        </w:rPr>
        <w:t xml:space="preserve">vialuce is an Adaptive Intelligence System. The platform’s primary experience is a continuously learning, persona-adapted, confidence-calibrated stream of intelligence that tells each user what matters right now, embeds the action to address it, and demonstrates the measurable impact of actions taken. The user does not navigate to intelligence. Intelligence finds the user, ranked by impact, with the action adjacent.</w:t>
      </w:r>
    </w:p>
    <w:p>
      <w:pPr>
        <w:spacing w:after="120"/>
      </w:pPr>
      <w:r>
        <w:rPr>
          <w:rFonts w:ascii="Arial" w:cs="Arial" w:eastAsia="Arial" w:hAnsi="Arial"/>
          <w:sz w:val="20"/>
          <w:szCs w:val="20"/>
        </w:rPr>
        <w:t xml:space="preserve">Three properties define this system:</w:t>
      </w:r>
    </w:p>
    <w:p>
      <w:pPr>
        <w:pStyle w:val="ListParagraph"/>
        <w:numPr>
          <w:ilvl w:val="0"/>
          <w:numId w:val="2"/>
        </w:numPr>
        <w:spacing w:after="80"/>
      </w:pPr>
      <w:r>
        <w:rPr>
          <w:rFonts w:ascii="Arial" w:cs="Arial" w:eastAsia="Arial" w:hAnsi="Arial"/>
          <w:sz w:val="20"/>
          <w:szCs w:val="20"/>
        </w:rPr>
        <w:t xml:space="preserve">INTELLIGENCE: Every element on screen exists because the platform determined it is the highest-value information for this user in this context at this moment. Not because a developer placed it on a page.</w:t>
      </w:r>
    </w:p>
    <w:p>
      <w:pPr>
        <w:pStyle w:val="ListParagraph"/>
        <w:numPr>
          <w:ilvl w:val="0"/>
          <w:numId w:val="2"/>
        </w:numPr>
        <w:spacing w:after="80"/>
      </w:pPr>
      <w:r>
        <w:rPr>
          <w:rFonts w:ascii="Arial" w:cs="Arial" w:eastAsia="Arial" w:hAnsi="Arial"/>
          <w:sz w:val="20"/>
          <w:szCs w:val="20"/>
        </w:rPr>
        <w:t xml:space="preserve">ACCELERATION: Every insight has an adjacent, executable action. The user does not navigate away to act. The action is embedded in the intelligence. One click from insight to execution.</w:t>
      </w:r>
    </w:p>
    <w:p>
      <w:pPr>
        <w:pStyle w:val="ListParagraph"/>
        <w:numPr>
          <w:ilvl w:val="0"/>
          <w:numId w:val="2"/>
        </w:numPr>
        <w:spacing w:after="80"/>
      </w:pPr>
      <w:r>
        <w:rPr>
          <w:rFonts w:ascii="Arial" w:cs="Arial" w:eastAsia="Arial" w:hAnsi="Arial"/>
          <w:sz w:val="20"/>
          <w:szCs w:val="20"/>
        </w:rPr>
        <w:t xml:space="preserve">PERFORMANCE: Every action the user takes produces a measurable, visible result. The platform closes the loop: you acted, here is what happened, here is how the system improved because of your action.</w:t>
      </w:r>
    </w:p>
    <w:p>
      <w:pPr>
        <w:spacing w:after="120"/>
      </w:pPr>
      <w:r>
        <w:rPr>
          <w:rFonts w:ascii="Arial" w:cs="Arial" w:eastAsia="Arial" w:hAnsi="Arial"/>
          <w:sz w:val="20"/>
          <w:szCs w:val="20"/>
        </w:rPr>
        <w:t xml:space="preserve">These are not design guidelines. They are the IAP Gate — the filter that determines whether an element earns its place on screen. Any element failing all three is removed. This is a standing architectural rule, not a suggestion.</w:t>
      </w:r>
    </w:p>
    <w:p>
      <w:pPr>
        <w:pStyle w:val="Heading2"/>
        <w:spacing w:before="300" w:after="160"/>
      </w:pPr>
      <w:r>
        <w:rPr>
          <w:rFonts w:ascii="Arial" w:cs="Arial" w:eastAsia="Arial" w:hAnsi="Arial"/>
          <w:b/>
          <w:bCs/>
          <w:color w:val="2E5090"/>
          <w:sz w:val="26"/>
          <w:szCs w:val="26"/>
        </w:rPr>
        <w:t xml:space="preserve">1.3 The Three UI Paradigms</w:t>
      </w:r>
    </w:p>
    <w:p>
      <w:pPr>
        <w:spacing w:after="120"/>
      </w:pPr>
      <w:r>
        <w:rPr>
          <w:rFonts w:ascii="Arial" w:cs="Arial" w:eastAsia="Arial" w:hAnsi="Arial"/>
          <w:sz w:val="20"/>
          <w:szCs w:val="20"/>
        </w:rPr>
        <w:t xml:space="preserve">Computing has had three interaction paradigms (Nielsen, 2025):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00"/>
        <w:gridCol w:w="290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Paradigm</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Era</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User Role</w:t>
            </w:r>
          </w:p>
        </w:tc>
        <w:tc>
          <w:tcPr>
            <w:tcW w:type="dxa" w:w="2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System Role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Batch Processing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1945–1984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Specifies complete workflow in advance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Executes instructions, returns results later</w:t>
            </w:r>
          </w:p>
        </w:tc>
      </w:tr>
      <w:tr>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Command-Based (GUI)</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1984–2024</w:t>
            </w:r>
          </w:p>
        </w:tc>
        <w:tc>
          <w:tcPr>
            <w:tcW w:type="dxa" w:w="2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Issues step-by-step commands via interface</w:t>
            </w:r>
          </w:p>
        </w:tc>
        <w:tc>
          <w:tcPr>
            <w:tcW w:type="dxa" w:w="2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Executes each command, shows result, waits for next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Intent-Based Outcome Specification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States desired outcome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Determines steps, executes, presents result</w:t>
            </w:r>
          </w:p>
        </w:tc>
      </w:tr>
    </w:tbl>
    <w:p>
      <w:pPr>
        <w:spacing w:after="60"/>
      </w:pPr>
    </w:p>
    <w:p>
      <w:pPr>
        <w:spacing w:after="120"/>
      </w:pPr>
      <w:r>
        <w:rPr>
          <w:rFonts w:ascii="Arial" w:cs="Arial" w:eastAsia="Arial" w:hAnsi="Arial"/>
          <w:sz w:val="20"/>
          <w:szCs w:val="20"/>
        </w:rPr>
        <w:t xml:space="preserve">vialuce’s engine operates in Paradigm 3 — the two-tier agent system, the Insight Agent, the Three-Scope Flywheel, and CRL are all intent-based systems that determine what to do based on outcomes, not commands. But the experience layer has been built in Paradigm 2 — pages, sidebars, click-navigate-click. DS-013 closes this gap. The experience layer now matches the engine’s paradigm.</w:t>
      </w:r>
    </w:p>
    <w:p>
      <w:r>
        <w:br w:type="page"/>
      </w:r>
    </w:p>
    <w:p>
      <w:pPr>
        <w:pStyle w:val="Heading1"/>
        <w:spacing w:before="400" w:after="200"/>
      </w:pPr>
      <w:r>
        <w:rPr>
          <w:rFonts w:ascii="Arial" w:cs="Arial" w:eastAsia="Arial" w:hAnsi="Arial"/>
          <w:b/>
          <w:bCs/>
          <w:color w:val="1B2A4A"/>
          <w:sz w:val="32"/>
          <w:szCs w:val="32"/>
        </w:rPr>
        <w:t xml:space="preserve">2. The Five Elements of Platform Intelligence</w:t>
      </w:r>
    </w:p>
    <w:p>
      <w:pPr>
        <w:spacing w:after="120"/>
      </w:pPr>
      <w:r>
        <w:rPr>
          <w:rFonts w:ascii="Arial" w:cs="Arial" w:eastAsia="Arial" w:hAnsi="Arial"/>
          <w:sz w:val="20"/>
          <w:szCs w:val="20"/>
        </w:rPr>
        <w:t xml:space="preserve">Every intelligence element presented to a user must contain all five elements. An element missing any one of them is incomplete and fails the IAP Gate.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100"/>
        <w:gridCol w:w="2300"/>
        <w:gridCol w:w="2500"/>
      </w:tblGrid>
      <w:tr>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Question It Answers</w:t>
            </w:r>
          </w:p>
        </w:tc>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Example (ICM Rep)</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Example (Franchise Operator)</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Example (Channel Partner)</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 is the number?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$945 earned this month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$17M network revenue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85% of Gold tier</w:t>
            </w:r>
          </w:p>
        </w:tc>
      </w:tr>
      <w:tr>
        <w:tc>
          <w:tcPr>
            <w:tcW w:type="dxa" w:w="11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Context</w:t>
            </w:r>
          </w:p>
        </w:tc>
        <w:tc>
          <w:tcPr>
            <w:tcW w:type="dxa" w:w="17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Compared to what?</w:t>
            </w:r>
          </w:p>
        </w:tc>
        <w:tc>
          <w:tcPr>
            <w:tcW w:type="dxa" w:w="21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91% of target; +12% vs last month</w:t>
            </w:r>
          </w:p>
        </w:tc>
        <w:tc>
          <w:tcPr>
            <w:tcW w:type="dxa" w:w="23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Network avg $850K/location; you’re at $780K</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$45K from Gold; 12% quarterly growth rate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Comparison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 that good or bad?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You’re in Standard tier. Premium is $55 away.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of 20 locations below 70% of network avg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Vendor A ROI: 3.8x. Vendor B ROI: 1.2x.</w:t>
            </w:r>
          </w:p>
        </w:tc>
      </w:tr>
      <w:tr>
        <w:tc>
          <w:tcPr>
            <w:tcW w:type="dxa" w:w="11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Action</w:t>
            </w:r>
          </w:p>
        </w:tc>
        <w:tc>
          <w:tcPr>
            <w:tcW w:type="dxa" w:w="17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What should I do?</w:t>
            </w:r>
          </w:p>
        </w:tc>
        <w:tc>
          <w:tcPr>
            <w:tcW w:type="dxa" w:w="21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3 more cross-products this week = Premium</w:t>
            </w:r>
          </w:p>
        </w:tc>
        <w:tc>
          <w:tcPr>
            <w:tcW w:type="dxa" w:w="23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Manta: update menu pricing (Cuenca did this in Nov, check size +15%)</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Shift 20% effort from Vendor B to Vendor A Server Line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Impact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 happens if I do it?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 this month. Premium for 2 consecutive = streak bonus.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Projected: +$12K/month at Manta if check size reaches network avg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Probability of Gold rises from 74% to 91%. Projected: +$45K retrospective rebate.</w:t>
            </w:r>
          </w:p>
        </w:tc>
      </w:tr>
    </w:tbl>
    <w:p>
      <w:pPr>
        <w:spacing w:after="60"/>
      </w:pPr>
    </w:p>
    <w:p>
      <w:pPr>
        <w:spacing w:after="120"/>
      </w:pPr>
      <w:r>
        <w:rPr>
          <w:rFonts w:ascii="Arial" w:cs="Arial" w:eastAsia="Arial" w:hAnsi="Arial"/>
          <w:sz w:val="20"/>
          <w:szCs w:val="20"/>
        </w:rPr>
        <w:t xml:space="preserve">Notice that the five elements are domain-agnostic. A logistics coordinator, a bank loan officer, a restaurant server, and a channel partner all receive the same structural intelligence: value + context + comparison + action + impact. The Domain Agent provides the vocabulary. The foundational agents provide the structure. This is the Korean Test applied to intelligence, not just to code.</w:t>
      </w:r>
    </w:p>
    <w:p>
      <w:r>
        <w:br w:type="page"/>
      </w:r>
    </w:p>
    <w:p>
      <w:pPr>
        <w:pStyle w:val="Heading1"/>
        <w:spacing w:before="400" w:after="200"/>
      </w:pPr>
      <w:r>
        <w:rPr>
          <w:rFonts w:ascii="Arial" w:cs="Arial" w:eastAsia="Arial" w:hAnsi="Arial"/>
          <w:b/>
          <w:bCs/>
          <w:color w:val="1B2A4A"/>
          <w:sz w:val="32"/>
          <w:szCs w:val="32"/>
        </w:rPr>
        <w:t xml:space="preserve">3. Confidence Tiers — The Entire Platform Adapts</w:t>
      </w:r>
    </w:p>
    <w:p>
      <w:pPr>
        <w:spacing w:after="120"/>
      </w:pPr>
      <w:r>
        <w:rPr>
          <w:rFonts w:ascii="Arial" w:cs="Arial" w:eastAsia="Arial" w:hAnsi="Arial"/>
          <w:sz w:val="20"/>
          <w:szCs w:val="20"/>
        </w:rPr>
        <w:t xml:space="preserve">The platform’s experience is a function of what the system knows. CRL (Decision 110) governs this across the entire platform, not just SCI classification. Three confidence tiers determine what the system can say, what actions it can recommend, and how aggressively it can act.</w:t>
      </w:r>
    </w:p>
    <w:p>
      <w:pPr>
        <w:pStyle w:val="Heading2"/>
        <w:spacing w:before="300" w:after="160"/>
      </w:pPr>
      <w:r>
        <w:rPr>
          <w:rFonts w:ascii="Arial" w:cs="Arial" w:eastAsia="Arial" w:hAnsi="Arial"/>
          <w:b/>
          <w:bCs/>
          <w:color w:val="2E5090"/>
          <w:sz w:val="26"/>
          <w:szCs w:val="26"/>
        </w:rPr>
        <w:t xml:space="preserve">3.1 Cold (Periods 1–2)</w:t>
      </w:r>
    </w:p>
    <w:p>
      <w:pPr>
        <w:spacing w:after="120"/>
      </w:pPr>
      <w:r>
        <w:rPr>
          <w:rFonts w:ascii="Arial" w:cs="Arial" w:eastAsia="Arial" w:hAnsi="Arial"/>
          <w:sz w:val="20"/>
          <w:szCs w:val="20"/>
        </w:rPr>
        <w:t xml:space="preserve">The system has just met this tenant, this entity, this user. It knows the plan structure, the current calculation results, and foundational flywheel priors from other tenants. It does NOT know this entity’s behavioral patterns, this user’s interaction preferences, or this tenant’s domain-specific patterns.</w:t>
      </w:r>
    </w:p>
    <w:p>
      <w:pPr>
        <w:spacing w:after="100"/>
      </w:pPr>
      <w:r>
        <w:rPr>
          <w:rFonts w:ascii="Arial" w:cs="Arial" w:eastAsia="Arial" w:hAnsi="Arial"/>
          <w:b/>
          <w:bCs/>
          <w:sz w:val="20"/>
          <w:szCs w:val="20"/>
        </w:rPr>
        <w:t xml:space="preserve">Intelligence: </w:t>
      </w:r>
      <w:r>
        <w:rPr>
          <w:rFonts w:ascii="Arial" w:cs="Arial" w:eastAsia="Arial" w:hAnsi="Arial"/>
          <w:sz w:val="20"/>
          <w:szCs w:val="20"/>
        </w:rPr>
        <w:t xml:space="preserve">Value + Context + Comparison. Factual statements only. “You earned $945. That’s 91% of target. You’re in Standard tier.”</w:t>
      </w:r>
    </w:p>
    <w:p>
      <w:pPr>
        <w:spacing w:after="100"/>
      </w:pPr>
      <w:r>
        <w:rPr>
          <w:rFonts w:ascii="Arial" w:cs="Arial" w:eastAsia="Arial" w:hAnsi="Arial"/>
          <w:b/>
          <w:bCs/>
          <w:sz w:val="20"/>
          <w:szCs w:val="20"/>
        </w:rPr>
        <w:t xml:space="preserve">Action: </w:t>
      </w:r>
      <w:r>
        <w:rPr>
          <w:rFonts w:ascii="Arial" w:cs="Arial" w:eastAsia="Arial" w:hAnsi="Arial"/>
          <w:sz w:val="20"/>
          <w:szCs w:val="20"/>
        </w:rPr>
        <w:t xml:space="preserve">Structural actions only — actions derivable from plan structure without behavioral data. “Revenue Performance has the widest gap to next tier.” No probability estimates, no velocity projections.</w:t>
      </w:r>
    </w:p>
    <w:p>
      <w:pPr>
        <w:spacing w:after="100"/>
      </w:pPr>
      <w:r>
        <w:rPr>
          <w:rFonts w:ascii="Arial" w:cs="Arial" w:eastAsia="Arial" w:hAnsi="Arial"/>
          <w:b/>
          <w:bCs/>
          <w:sz w:val="20"/>
          <w:szCs w:val="20"/>
        </w:rPr>
        <w:t xml:space="preserve">Impact: </w:t>
      </w:r>
      <w:r>
        <w:rPr>
          <w:rFonts w:ascii="Arial" w:cs="Arial" w:eastAsia="Arial" w:hAnsi="Arial"/>
          <w:sz w:val="20"/>
          <w:szCs w:val="20"/>
        </w:rPr>
        <w:t xml:space="preserve">Deterministic cost impact only. “Reaching Premium in this component = +$120/month.” Behavioral response estimated from foundational flywheel with honest confidence disclosure: “Insufficient tenant data for velocity projection. Industry research suggests 15–20% acceleration near achievable boundaries.”</w:t>
      </w:r>
    </w:p>
    <w:p>
      <w:pPr>
        <w:spacing w:after="100"/>
      </w:pPr>
      <w:r>
        <w:rPr>
          <w:rFonts w:ascii="Arial" w:cs="Arial" w:eastAsia="Arial" w:hAnsi="Arial"/>
          <w:b/>
          <w:bCs/>
          <w:sz w:val="20"/>
          <w:szCs w:val="20"/>
        </w:rPr>
        <w:t xml:space="preserve">Adaptation: </w:t>
      </w:r>
      <w:r>
        <w:rPr>
          <w:rFonts w:ascii="Arial" w:cs="Arial" w:eastAsia="Arial" w:hAnsi="Arial"/>
          <w:sz w:val="20"/>
          <w:szCs w:val="20"/>
        </w:rPr>
        <w:t xml:space="preserve">None. Archetype experience per persona. Interaction signals captured but dormant.</w:t>
      </w:r>
    </w:p>
    <w:p>
      <w:pPr>
        <w:pStyle w:val="Heading2"/>
        <w:spacing w:before="300" w:after="160"/>
      </w:pPr>
      <w:r>
        <w:rPr>
          <w:rFonts w:ascii="Arial" w:cs="Arial" w:eastAsia="Arial" w:hAnsi="Arial"/>
          <w:b/>
          <w:bCs/>
          <w:color w:val="2E5090"/>
          <w:sz w:val="26"/>
          <w:szCs w:val="26"/>
        </w:rPr>
        <w:t xml:space="preserve">3.2 Warm (Periods 3–6)</w:t>
      </w:r>
    </w:p>
    <w:p>
      <w:pPr>
        <w:spacing w:after="120"/>
      </w:pPr>
      <w:r>
        <w:rPr>
          <w:rFonts w:ascii="Arial" w:cs="Arial" w:eastAsia="Arial" w:hAnsi="Arial"/>
          <w:sz w:val="20"/>
          <w:szCs w:val="20"/>
        </w:rPr>
        <w:t xml:space="preserve">The system has trajectory data. It can compute velocity, detect acceleration/deceleration, and begin identifying entity-level behavioral patterns. The tenant flywheel has initial observations. CRL confidence is rising.</w:t>
      </w:r>
    </w:p>
    <w:p>
      <w:pPr>
        <w:spacing w:after="100"/>
      </w:pPr>
      <w:r>
        <w:rPr>
          <w:rFonts w:ascii="Arial" w:cs="Arial" w:eastAsia="Arial" w:hAnsi="Arial"/>
          <w:b/>
          <w:bCs/>
          <w:sz w:val="20"/>
          <w:szCs w:val="20"/>
        </w:rPr>
        <w:t xml:space="preserve">Intelligence: </w:t>
      </w:r>
      <w:r>
        <w:rPr>
          <w:rFonts w:ascii="Arial" w:cs="Arial" w:eastAsia="Arial" w:hAnsi="Arial"/>
          <w:sz w:val="20"/>
          <w:szCs w:val="20"/>
        </w:rPr>
        <w:t xml:space="preserve">All five elements active. Trajectory appears: “You’ve improved 12% over 3 months.” Pace projection with moderate confidence: “At current pace, Premium in 5 weeks.”</w:t>
      </w:r>
    </w:p>
    <w:p>
      <w:pPr>
        <w:spacing w:after="100"/>
      </w:pPr>
      <w:r>
        <w:rPr>
          <w:rFonts w:ascii="Arial" w:cs="Arial" w:eastAsia="Arial" w:hAnsi="Arial"/>
          <w:b/>
          <w:bCs/>
          <w:sz w:val="20"/>
          <w:szCs w:val="20"/>
        </w:rPr>
        <w:t xml:space="preserve">Action: </w:t>
      </w:r>
      <w:r>
        <w:rPr>
          <w:rFonts w:ascii="Arial" w:cs="Arial" w:eastAsia="Arial" w:hAnsi="Arial"/>
          <w:sz w:val="20"/>
          <w:szCs w:val="20"/>
        </w:rPr>
        <w:t xml:space="preserve">Allocation Intelligence activates (DS-008-A2). “Shift effort to Revenue Performance — highest marginal return at your current position.” Coaching priority for managers: “Ana is 3% from Premium and accelerating.”</w:t>
      </w:r>
    </w:p>
    <w:p>
      <w:pPr>
        <w:spacing w:after="100"/>
      </w:pPr>
      <w:r>
        <w:rPr>
          <w:rFonts w:ascii="Arial" w:cs="Arial" w:eastAsia="Arial" w:hAnsi="Arial"/>
          <w:b/>
          <w:bCs/>
          <w:sz w:val="20"/>
          <w:szCs w:val="20"/>
        </w:rPr>
        <w:t xml:space="preserve">Impact: </w:t>
      </w:r>
      <w:r>
        <w:rPr>
          <w:rFonts w:ascii="Arial" w:cs="Arial" w:eastAsia="Arial" w:hAnsi="Arial"/>
          <w:sz w:val="20"/>
          <w:szCs w:val="20"/>
        </w:rPr>
        <w:t xml:space="preserve">Probability-weighted projections with stated confidence. “Projected: +$2,400 team impact if Ana reaches Premium. Confidence: Moderate (3 periods of behavioral data).”</w:t>
      </w:r>
    </w:p>
    <w:p>
      <w:pPr>
        <w:spacing w:after="100"/>
      </w:pPr>
      <w:r>
        <w:rPr>
          <w:rFonts w:ascii="Arial" w:cs="Arial" w:eastAsia="Arial" w:hAnsi="Arial"/>
          <w:b/>
          <w:bCs/>
          <w:sz w:val="20"/>
          <w:szCs w:val="20"/>
        </w:rPr>
        <w:t xml:space="preserve">Adaptation: </w:t>
      </w:r>
      <w:r>
        <w:rPr>
          <w:rFonts w:ascii="Arial" w:cs="Arial" w:eastAsia="Arial" w:hAnsi="Arial"/>
          <w:sz w:val="20"/>
          <w:szCs w:val="20"/>
        </w:rPr>
        <w:t xml:space="preserve">Section-level adaptation begins. If this user consistently engages with coaching cards but ignores heatmaps, coaching cards promote. CRL on user behavior crosses threshold for ordering changes.</w:t>
      </w:r>
    </w:p>
    <w:p>
      <w:pPr>
        <w:pStyle w:val="Heading2"/>
        <w:spacing w:before="300" w:after="160"/>
      </w:pPr>
      <w:r>
        <w:rPr>
          <w:rFonts w:ascii="Arial" w:cs="Arial" w:eastAsia="Arial" w:hAnsi="Arial"/>
          <w:b/>
          <w:bCs/>
          <w:color w:val="2E5090"/>
          <w:sz w:val="26"/>
          <w:szCs w:val="26"/>
        </w:rPr>
        <w:t xml:space="preserve">3.3 Hot (Periods 7+)</w:t>
      </w:r>
    </w:p>
    <w:p>
      <w:pPr>
        <w:spacing w:after="120"/>
      </w:pPr>
      <w:r>
        <w:rPr>
          <w:rFonts w:ascii="Arial" w:cs="Arial" w:eastAsia="Arial" w:hAnsi="Arial"/>
          <w:sz w:val="20"/>
          <w:szCs w:val="20"/>
        </w:rPr>
        <w:t xml:space="preserve">The system knows this entity, this user, this tenant deeply. Behavioral patterns are established. The tenant flywheel has rich data. Foundational and domain flywheels contribute cross-tenant intelligence. CRL confidence is high.</w:t>
      </w:r>
    </w:p>
    <w:p>
      <w:pPr>
        <w:spacing w:after="100"/>
      </w:pPr>
      <w:r>
        <w:rPr>
          <w:rFonts w:ascii="Arial" w:cs="Arial" w:eastAsia="Arial" w:hAnsi="Arial"/>
          <w:b/>
          <w:bCs/>
          <w:sz w:val="20"/>
          <w:szCs w:val="20"/>
        </w:rPr>
        <w:t xml:space="preserve">Intelligence: </w:t>
      </w:r>
      <w:r>
        <w:rPr>
          <w:rFonts w:ascii="Arial" w:cs="Arial" w:eastAsia="Arial" w:hAnsi="Arial"/>
          <w:sz w:val="20"/>
          <w:szCs w:val="20"/>
        </w:rPr>
        <w:t xml:space="preserve">Full allocation intelligence with interaction effects and friction proxies. “Shift 20% effort from Accessories to Optical. Note: these are complementary (corr 0.73) — Accessories won’t decline.”</w:t>
      </w:r>
    </w:p>
    <w:p>
      <w:pPr>
        <w:spacing w:after="100"/>
      </w:pPr>
      <w:r>
        <w:rPr>
          <w:rFonts w:ascii="Arial" w:cs="Arial" w:eastAsia="Arial" w:hAnsi="Arial"/>
          <w:b/>
          <w:bCs/>
          <w:sz w:val="20"/>
          <w:szCs w:val="20"/>
        </w:rPr>
        <w:t xml:space="preserve">Action: </w:t>
      </w:r>
      <w:r>
        <w:rPr>
          <w:rFonts w:ascii="Arial" w:cs="Arial" w:eastAsia="Arial" w:hAnsi="Arial"/>
          <w:sz w:val="20"/>
          <w:szCs w:val="20"/>
        </w:rPr>
        <w:t xml:space="preserve">Tier 3 agency (DS-008-A3) activates for admins. Action Cards with Simulate + Apply buttons. Adaptive challenge generation for reps: personalized micro-challenges calibrated to this entity’s trajectory.</w:t>
      </w:r>
    </w:p>
    <w:p>
      <w:pPr>
        <w:spacing w:after="100"/>
      </w:pPr>
      <w:r>
        <w:rPr>
          <w:rFonts w:ascii="Arial" w:cs="Arial" w:eastAsia="Arial" w:hAnsi="Arial"/>
          <w:b/>
          <w:bCs/>
          <w:sz w:val="20"/>
          <w:szCs w:val="20"/>
        </w:rPr>
        <w:t xml:space="preserve">Impact: </w:t>
      </w:r>
      <w:r>
        <w:rPr>
          <w:rFonts w:ascii="Arial" w:cs="Arial" w:eastAsia="Arial" w:hAnsi="Arial"/>
          <w:sz w:val="20"/>
          <w:szCs w:val="20"/>
        </w:rPr>
        <w:t xml:space="preserve">Closed-loop impact reporting. “Last month you followed 3 coaching recommendations. Your team’s total payout increased 12%. The specific entities you coached improved an average of 23%.” The flywheel shows the user their own contribution to the system’s improvement.</w:t>
      </w:r>
    </w:p>
    <w:p>
      <w:pPr>
        <w:spacing w:after="100"/>
      </w:pPr>
      <w:r>
        <w:rPr>
          <w:rFonts w:ascii="Arial" w:cs="Arial" w:eastAsia="Arial" w:hAnsi="Arial"/>
          <w:b/>
          <w:bCs/>
          <w:sz w:val="20"/>
          <w:szCs w:val="20"/>
        </w:rPr>
        <w:t xml:space="preserve">Adaptation: </w:t>
      </w:r>
      <w:r>
        <w:rPr>
          <w:rFonts w:ascii="Arial" w:cs="Arial" w:eastAsia="Arial" w:hAnsi="Arial"/>
          <w:sz w:val="20"/>
          <w:szCs w:val="20"/>
        </w:rPr>
        <w:t xml:space="preserve">Full temporal adaptation. The platform recognizes that this manager logs in Monday mornings and Friday afternoons. Monday surfaces weekly coaching agenda. Friday surfaces close-out verification and recognition queue.</w:t>
      </w:r>
    </w:p>
    <w:p>
      <w:r>
        <w:br w:type="page"/>
      </w:r>
    </w:p>
    <w:p>
      <w:pPr>
        <w:pStyle w:val="Heading1"/>
        <w:spacing w:before="400" w:after="200"/>
      </w:pPr>
      <w:r>
        <w:rPr>
          <w:rFonts w:ascii="Arial" w:cs="Arial" w:eastAsia="Arial" w:hAnsi="Arial"/>
          <w:b/>
          <w:bCs/>
          <w:color w:val="1B2A4A"/>
          <w:sz w:val="32"/>
          <w:szCs w:val="32"/>
        </w:rPr>
        <w:t xml:space="preserve">4. The Intelligence Stream Replaces Navigation</w:t>
      </w:r>
    </w:p>
    <w:p>
      <w:pPr>
        <w:pStyle w:val="Heading2"/>
        <w:spacing w:before="300" w:after="160"/>
      </w:pPr>
      <w:r>
        <w:rPr>
          <w:rFonts w:ascii="Arial" w:cs="Arial" w:eastAsia="Arial" w:hAnsi="Arial"/>
          <w:b/>
          <w:bCs/>
          <w:color w:val="2E5090"/>
          <w:sz w:val="26"/>
          <w:szCs w:val="26"/>
        </w:rPr>
        <w:t xml:space="preserve">4.1 The Signal-to-Action Engine</w:t>
      </w:r>
    </w:p>
    <w:p>
      <w:pPr>
        <w:spacing w:after="120"/>
      </w:pPr>
      <w:r>
        <w:rPr>
          <w:rFonts w:ascii="Arial" w:cs="Arial" w:eastAsia="Arial" w:hAnsi="Arial"/>
          <w:sz w:val="20"/>
          <w:szCs w:val="20"/>
        </w:rPr>
        <w:t xml:space="preserve">The primary experience for every persona is a ranked intelligence stream. The Insight Agent (informed by the Three-Scope Flywheel and calibrated by CRL) produces a prioritized set of intelligence elements. Each element contains all five properties (value, context, comparison, action, impact). Elements are ranked by projected impact on the user’s performance outcome.</w:t>
      </w:r>
    </w:p>
    <w:p>
      <w:pPr>
        <w:spacing w:after="120"/>
      </w:pPr>
      <w:r>
        <w:rPr>
          <w:rFonts w:ascii="Arial" w:cs="Arial" w:eastAsia="Arial" w:hAnsi="Arial"/>
          <w:sz w:val="20"/>
          <w:szCs w:val="20"/>
        </w:rPr>
        <w:t xml:space="preserve">This is architecturally equivalent to Salesloft’s Conductor AI / Rhythm engine, which has demonstrated at scale: 39% more tasks completed per day, 57% productivity lift, 23% more meetings from the same activity, 20% shorter deal cycles. The mechanism is identical: signals from across the platform are ranked by predicted impact and presented with proximate execution paths.</w:t>
      </w:r>
    </w:p>
    <w:p>
      <w:pPr>
        <w:spacing w:after="120"/>
      </w:pPr>
      <w:r>
        <w:rPr>
          <w:rFonts w:ascii="Arial" w:cs="Arial" w:eastAsia="Arial" w:hAnsi="Arial"/>
          <w:sz w:val="20"/>
          <w:szCs w:val="20"/>
        </w:rPr>
        <w:t xml:space="preserve">The intelligence stream is not a page. It is the platform’s primary mode of interaction. The user opens vialuce and sees what matters most, right now, with the button to act on it.</w:t>
      </w:r>
    </w:p>
    <w:p>
      <w:pPr>
        <w:pStyle w:val="Heading2"/>
        <w:spacing w:before="300" w:after="160"/>
      </w:pPr>
      <w:r>
        <w:rPr>
          <w:rFonts w:ascii="Arial" w:cs="Arial" w:eastAsia="Arial" w:hAnsi="Arial"/>
          <w:b/>
          <w:bCs/>
          <w:color w:val="2E5090"/>
          <w:sz w:val="26"/>
          <w:szCs w:val="26"/>
        </w:rPr>
        <w:t xml:space="preserve">4.2 Navigation Exists for Specific Tasks</w:t>
      </w:r>
    </w:p>
    <w:p>
      <w:pPr>
        <w:spacing w:after="120"/>
      </w:pPr>
      <w:r>
        <w:rPr>
          <w:rFonts w:ascii="Arial" w:cs="Arial" w:eastAsia="Arial" w:hAnsi="Arial"/>
          <w:sz w:val="20"/>
          <w:szCs w:val="20"/>
        </w:rPr>
        <w:t xml:space="preserve">Navigation does not disappear. It becomes secondary. When a user needs to perform a specific operational task (import data, configure a plan, run a reconciliation), they navigate to that task. But they arrive at tasks because the intelligence stream recommended the task, not because they browsed a sidebar.</w:t>
      </w:r>
    </w:p>
    <w:p>
      <w:pPr>
        <w:spacing w:after="120"/>
      </w:pPr>
      <w:r>
        <w:rPr>
          <w:rFonts w:ascii="Arial" w:cs="Arial" w:eastAsia="Arial" w:hAnsi="Arial"/>
          <w:sz w:val="20"/>
          <w:szCs w:val="20"/>
        </w:rPr>
        <w:t xml:space="preserve">Example: The intelligence stream surfaces “Import data for February — no data received for current period. Import now →”. The user clicks “Import now” and arrives at the import surface. They do not browse to Operate &gt; Import &gt; Select File. The intelligence identified the gap and provided the proximate action.</w:t>
      </w:r>
    </w:p>
    <w:p>
      <w:pPr>
        <w:spacing w:after="120"/>
      </w:pPr>
      <w:r>
        <w:rPr>
          <w:rFonts w:ascii="Arial" w:cs="Arial" w:eastAsia="Arial" w:hAnsi="Arial"/>
          <w:sz w:val="20"/>
          <w:szCs w:val="20"/>
        </w:rPr>
        <w:t xml:space="preserve">Example: The intelligence stream surfaces “3 entities within 5% of Premium. Adjust tier boundary? Projected: +$8,400 revenue / +$2,100 cost. ROI: 4.0x. Simulate → | Apply →”. The admin clicks “Simulate” and sees the full impact model. They do not navigate to Configure &gt; Plans &gt; Edit Component &gt; Adjust Threshold. The intelligence identified the opportunity, modeled the impact, and embedded the action.</w:t>
      </w:r>
    </w:p>
    <w:p>
      <w:pPr>
        <w:pStyle w:val="Heading2"/>
        <w:spacing w:before="300" w:after="160"/>
      </w:pPr>
      <w:r>
        <w:rPr>
          <w:rFonts w:ascii="Arial" w:cs="Arial" w:eastAsia="Arial" w:hAnsi="Arial"/>
          <w:b/>
          <w:bCs/>
          <w:color w:val="2E5090"/>
          <w:sz w:val="26"/>
          <w:szCs w:val="26"/>
        </w:rPr>
        <w:t xml:space="preserve">4.3 Proximate Action Execution</w:t>
      </w:r>
    </w:p>
    <w:p>
      <w:pPr>
        <w:spacing w:after="120"/>
      </w:pPr>
      <w:r>
        <w:rPr>
          <w:rFonts w:ascii="Arial" w:cs="Arial" w:eastAsia="Arial" w:hAnsi="Arial"/>
          <w:sz w:val="20"/>
          <w:szCs w:val="20"/>
        </w:rPr>
        <w:t xml:space="preserve">The defining characteristic of the intelligence stream is that actions execute within the stream or open the minimum necessary context for execution. The user does not leave the stream to act. The Thermostat Principle is not satisfied by linking to another page. It is satisfied by embedding the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70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Thermostat Pattern</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Wrong (Paradigm 2)</w:t>
            </w:r>
          </w:p>
        </w:tc>
        <w:tc>
          <w:tcPr>
            <w:tcW w:type="dxa" w:w="4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Right (Paradigm 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Manager coaching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 to team page &gt; find entity &gt; review data &gt; decide action</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 “Ana → Revenue Performance: +$2,400 projected.” Button: “View Ana’s Detail” opens inline expansion with component breakdown and coaching notes.</w:t>
            </w:r>
          </w:p>
        </w:tc>
      </w:tr>
      <w:tr>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Admin plan adjustment</w:t>
            </w:r>
          </w:p>
        </w:tc>
        <w:tc>
          <w:tcPr>
            <w:tcW w:type="dxa" w:w="3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Navigate to Configure &gt; Plans &gt; Edit &gt; Component &gt; Threshold</w:t>
            </w:r>
          </w:p>
        </w:tc>
        <w:tc>
          <w:tcPr>
            <w:tcW w:type="dxa" w:w="47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Card: “Lower Premium from $100K to $90K. Impact: +$8.4K revenue / +$2.1K cost.” Buttons: “Simulate” (inline), “Apply” (with confirmation).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 effort allocation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shows 5 components &gt; user mentally compares &gt; decides</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 “Focus on Revenue Performance. You’re $55 from Premium. 3 more loans at current mix. Worth $120/month.” Button: “Show me my pipeline.”</w:t>
            </w:r>
          </w:p>
        </w:tc>
      </w:tr>
      <w:tr>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Data import needed</w:t>
            </w:r>
          </w:p>
        </w:tc>
        <w:tc>
          <w:tcPr>
            <w:tcW w:type="dxa" w:w="3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User remembers to check import &gt; navigates &gt; uploads</w:t>
            </w:r>
          </w:p>
        </w:tc>
        <w:tc>
          <w:tcPr>
            <w:tcW w:type="dxa" w:w="47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Card: “No February data detected. Last import: Jan 28. Import now →”</w:t>
            </w:r>
          </w:p>
        </w:tc>
      </w:tr>
    </w:tbl>
    <w:p>
      <w:r>
        <w:br w:type="page"/>
      </w:r>
    </w:p>
    <w:p>
      <w:pPr>
        <w:pStyle w:val="Heading1"/>
        <w:spacing w:before="400" w:after="200"/>
      </w:pPr>
      <w:r>
        <w:rPr>
          <w:rFonts w:ascii="Arial" w:cs="Arial" w:eastAsia="Arial" w:hAnsi="Arial"/>
          <w:b/>
          <w:bCs/>
          <w:color w:val="1B2A4A"/>
          <w:sz w:val="32"/>
          <w:szCs w:val="32"/>
        </w:rPr>
        <w:t xml:space="preserve">5. Persona as Intelligence Filter, Not Page Template</w:t>
      </w:r>
    </w:p>
    <w:p>
      <w:pPr>
        <w:spacing w:after="120"/>
      </w:pPr>
      <w:r>
        <w:rPr>
          <w:rFonts w:ascii="Arial" w:cs="Arial" w:eastAsia="Arial" w:hAnsi="Arial"/>
          <w:sz w:val="20"/>
          <w:szCs w:val="20"/>
        </w:rPr>
        <w:t xml:space="preserve">In Paradigm 2, persona determines which page the user sees. In Paradigm 3, persona determines which intelligence elements rank highest, which actions are available, and which agency tier governs the interaction.</w:t>
      </w:r>
    </w:p>
    <w:p>
      <w:pPr>
        <w:pStyle w:val="Heading2"/>
        <w:spacing w:before="300" w:after="160"/>
      </w:pPr>
      <w:r>
        <w:rPr>
          <w:rFonts w:ascii="Arial" w:cs="Arial" w:eastAsia="Arial" w:hAnsi="Arial"/>
          <w:b/>
          <w:bCs/>
          <w:color w:val="2E5090"/>
          <w:sz w:val="26"/>
          <w:szCs w:val="26"/>
        </w:rPr>
        <w:t xml:space="preserve">5.1 Individual (Rep / Loan Officer / Server / Coordinator)</w:t>
      </w:r>
    </w:p>
    <w:p>
      <w:pPr>
        <w:spacing w:after="100"/>
      </w:pPr>
      <w:r>
        <w:rPr>
          <w:rFonts w:ascii="Arial" w:cs="Arial" w:eastAsia="Arial" w:hAnsi="Arial"/>
          <w:b/>
          <w:bCs/>
          <w:sz w:val="20"/>
          <w:szCs w:val="20"/>
        </w:rPr>
        <w:t xml:space="preserve">Primary cognitive task: </w:t>
      </w:r>
      <w:r>
        <w:rPr>
          <w:rFonts w:ascii="Arial" w:cs="Arial" w:eastAsia="Arial" w:hAnsi="Arial"/>
          <w:sz w:val="20"/>
          <w:szCs w:val="20"/>
        </w:rPr>
        <w:t xml:space="preserve">Self-directed mastery and progress tracking.</w:t>
      </w:r>
    </w:p>
    <w:p>
      <w:pPr>
        <w:spacing w:after="100"/>
      </w:pPr>
      <w:r>
        <w:rPr>
          <w:rFonts w:ascii="Arial" w:cs="Arial" w:eastAsia="Arial" w:hAnsi="Arial"/>
          <w:b/>
          <w:bCs/>
          <w:sz w:val="20"/>
          <w:szCs w:val="20"/>
        </w:rPr>
        <w:t xml:space="preserve">Intelligence priority: </w:t>
      </w:r>
      <w:r>
        <w:rPr>
          <w:rFonts w:ascii="Arial" w:cs="Arial" w:eastAsia="Arial" w:hAnsi="Arial"/>
          <w:sz w:val="20"/>
          <w:szCs w:val="20"/>
        </w:rPr>
        <w:t xml:space="preserve">Personal earnings → allocation recommendation → pace projection → relative position → component opportunity map.</w:t>
      </w:r>
    </w:p>
    <w:p>
      <w:pPr>
        <w:spacing w:after="100"/>
      </w:pPr>
      <w:r>
        <w:rPr>
          <w:rFonts w:ascii="Arial" w:cs="Arial" w:eastAsia="Arial" w:hAnsi="Arial"/>
          <w:b/>
          <w:bCs/>
          <w:sz w:val="20"/>
          <w:szCs w:val="20"/>
        </w:rPr>
        <w:t xml:space="preserve">Agency tier: </w:t>
      </w:r>
      <w:r>
        <w:rPr>
          <w:rFonts w:ascii="Arial" w:cs="Arial" w:eastAsia="Arial" w:hAnsi="Arial"/>
          <w:sz w:val="20"/>
          <w:szCs w:val="20"/>
        </w:rPr>
        <w:t xml:space="preserve">Tier 1 (Inform) + Tier 2 for personal simulation (“What if I close 3 more?”).</w:t>
      </w:r>
    </w:p>
    <w:p>
      <w:pPr>
        <w:spacing w:after="100"/>
      </w:pPr>
      <w:r>
        <w:rPr>
          <w:rFonts w:ascii="Arial" w:cs="Arial" w:eastAsia="Arial" w:hAnsi="Arial"/>
          <w:b/>
          <w:bCs/>
          <w:sz w:val="20"/>
          <w:szCs w:val="20"/>
        </w:rPr>
        <w:t xml:space="preserve">Density: </w:t>
      </w:r>
      <w:r>
        <w:rPr>
          <w:rFonts w:ascii="Arial" w:cs="Arial" w:eastAsia="Arial" w:hAnsi="Arial"/>
          <w:sz w:val="20"/>
          <w:szCs w:val="20"/>
        </w:rPr>
        <w:t xml:space="preserve">Lowest. Maximum 5–6 elements. Hero metric dominant. Single-column focus.</w:t>
      </w:r>
    </w:p>
    <w:p>
      <w:pPr>
        <w:spacing w:after="100"/>
      </w:pPr>
      <w:r>
        <w:rPr>
          <w:rFonts w:ascii="Arial" w:cs="Arial" w:eastAsia="Arial" w:hAnsi="Arial"/>
          <w:b/>
          <w:bCs/>
          <w:sz w:val="20"/>
          <w:szCs w:val="20"/>
        </w:rPr>
        <w:t xml:space="preserve">Ambient environment: </w:t>
      </w:r>
      <w:r>
        <w:rPr>
          <w:rFonts w:ascii="Arial" w:cs="Arial" w:eastAsia="Arial" w:hAnsi="Arial"/>
          <w:sz w:val="20"/>
          <w:szCs w:val="20"/>
        </w:rPr>
        <w:t xml:space="preserve">Emerald (growth, safety, trajectory). Gradient warms toward lime as attainment increases.</w:t>
      </w:r>
    </w:p>
    <w:p>
      <w:pPr>
        <w:spacing w:after="100"/>
      </w:pPr>
      <w:r>
        <w:rPr>
          <w:rFonts w:ascii="Arial" w:cs="Arial" w:eastAsia="Arial" w:hAnsi="Arial"/>
          <w:b/>
          <w:bCs/>
          <w:sz w:val="20"/>
          <w:szCs w:val="20"/>
        </w:rPr>
        <w:t xml:space="preserve">Closed-loop reward: </w:t>
      </w:r>
      <w:r>
        <w:rPr>
          <w:rFonts w:ascii="Arial" w:cs="Arial" w:eastAsia="Arial" w:hAnsi="Arial"/>
          <w:sz w:val="20"/>
          <w:szCs w:val="20"/>
        </w:rPr>
        <w:t xml:space="preserve">“Last month you followed the allocation recommendation and shifted effort to Revenue Performance. Result: +$380 vs prior month. You’re now in Premium.”</w:t>
      </w:r>
    </w:p>
    <w:p>
      <w:pPr>
        <w:pStyle w:val="Heading2"/>
        <w:spacing w:before="300" w:after="160"/>
      </w:pPr>
      <w:r>
        <w:rPr>
          <w:rFonts w:ascii="Arial" w:cs="Arial" w:eastAsia="Arial" w:hAnsi="Arial"/>
          <w:b/>
          <w:bCs/>
          <w:color w:val="2E5090"/>
          <w:sz w:val="26"/>
          <w:szCs w:val="26"/>
        </w:rPr>
        <w:t xml:space="preserve">5.2 Manager (Team Lead / Branch Manager / Regional Director)</w:t>
      </w:r>
    </w:p>
    <w:p>
      <w:pPr>
        <w:spacing w:after="100"/>
      </w:pPr>
      <w:r>
        <w:rPr>
          <w:rFonts w:ascii="Arial" w:cs="Arial" w:eastAsia="Arial" w:hAnsi="Arial"/>
          <w:b/>
          <w:bCs/>
          <w:sz w:val="20"/>
          <w:szCs w:val="20"/>
        </w:rPr>
        <w:t xml:space="preserve">Primary cognitive task: </w:t>
      </w:r>
      <w:r>
        <w:rPr>
          <w:rFonts w:ascii="Arial" w:cs="Arial" w:eastAsia="Arial" w:hAnsi="Arial"/>
          <w:sz w:val="20"/>
          <w:szCs w:val="20"/>
        </w:rPr>
        <w:t xml:space="preserve">Team acceleration. Identify who needs what attention and deliver it.</w:t>
      </w:r>
    </w:p>
    <w:p>
      <w:pPr>
        <w:spacing w:after="100"/>
      </w:pPr>
      <w:r>
        <w:rPr>
          <w:rFonts w:ascii="Arial" w:cs="Arial" w:eastAsia="Arial" w:hAnsi="Arial"/>
          <w:b/>
          <w:bCs/>
          <w:sz w:val="20"/>
          <w:szCs w:val="20"/>
        </w:rPr>
        <w:t xml:space="preserve">Intelligence priority: </w:t>
      </w:r>
      <w:r>
        <w:rPr>
          <w:rFonts w:ascii="Arial" w:cs="Arial" w:eastAsia="Arial" w:hAnsi="Arial"/>
          <w:sz w:val="20"/>
          <w:szCs w:val="20"/>
        </w:rPr>
        <w:t xml:space="preserve">Coaching priority card (highest-ROI entity × component) → team health pattern → declining entities → recognition opportunities → team aggregate trend.</w:t>
      </w:r>
    </w:p>
    <w:p>
      <w:pPr>
        <w:spacing w:after="100"/>
      </w:pPr>
      <w:r>
        <w:rPr>
          <w:rFonts w:ascii="Arial" w:cs="Arial" w:eastAsia="Arial" w:hAnsi="Arial"/>
          <w:b/>
          <w:bCs/>
          <w:sz w:val="20"/>
          <w:szCs w:val="20"/>
        </w:rPr>
        <w:t xml:space="preserve">Agency tier: </w:t>
      </w:r>
      <w:r>
        <w:rPr>
          <w:rFonts w:ascii="Arial" w:cs="Arial" w:eastAsia="Arial" w:hAnsi="Arial"/>
          <w:sz w:val="20"/>
          <w:szCs w:val="20"/>
        </w:rPr>
        <w:t xml:space="preserve">Tier 2 (Recommend with modeled impact). Coaching cards with projected team impact.</w:t>
      </w:r>
    </w:p>
    <w:p>
      <w:pPr>
        <w:spacing w:after="100"/>
      </w:pPr>
      <w:r>
        <w:rPr>
          <w:rFonts w:ascii="Arial" w:cs="Arial" w:eastAsia="Arial" w:hAnsi="Arial"/>
          <w:b/>
          <w:bCs/>
          <w:sz w:val="20"/>
          <w:szCs w:val="20"/>
        </w:rPr>
        <w:t xml:space="preserve">Density: </w:t>
      </w:r>
      <w:r>
        <w:rPr>
          <w:rFonts w:ascii="Arial" w:cs="Arial" w:eastAsia="Arial" w:hAnsi="Arial"/>
          <w:sz w:val="20"/>
          <w:szCs w:val="20"/>
        </w:rPr>
        <w:t xml:space="preserve">Medium. People-focused cards with embedded sparklines. 2-column layouts.</w:t>
      </w:r>
    </w:p>
    <w:p>
      <w:pPr>
        <w:spacing w:after="100"/>
      </w:pPr>
      <w:r>
        <w:rPr>
          <w:rFonts w:ascii="Arial" w:cs="Arial" w:eastAsia="Arial" w:hAnsi="Arial"/>
          <w:b/>
          <w:bCs/>
          <w:sz w:val="20"/>
          <w:szCs w:val="20"/>
        </w:rPr>
        <w:t xml:space="preserve">Ambient environment: </w:t>
      </w:r>
      <w:r>
        <w:rPr>
          <w:rFonts w:ascii="Arial" w:cs="Arial" w:eastAsia="Arial" w:hAnsi="Arial"/>
          <w:sz w:val="20"/>
          <w:szCs w:val="20"/>
        </w:rPr>
        <w:t xml:space="preserve">Amber (optimism, mentorship, recognition).</w:t>
      </w:r>
    </w:p>
    <w:p>
      <w:pPr>
        <w:spacing w:after="100"/>
      </w:pPr>
      <w:r>
        <w:rPr>
          <w:rFonts w:ascii="Arial" w:cs="Arial" w:eastAsia="Arial" w:hAnsi="Arial"/>
          <w:b/>
          <w:bCs/>
          <w:sz w:val="20"/>
          <w:szCs w:val="20"/>
        </w:rPr>
        <w:t xml:space="preserve">Closed-loop reward: </w:t>
      </w:r>
      <w:r>
        <w:rPr>
          <w:rFonts w:ascii="Arial" w:cs="Arial" w:eastAsia="Arial" w:hAnsi="Arial"/>
          <w:sz w:val="20"/>
          <w:szCs w:val="20"/>
        </w:rPr>
        <w:t xml:space="preserve">“You coached 3 team members last month based on platform recommendations. Their combined improvement: +23% attainment. Your team’s total payout increased 12%.”</w:t>
      </w:r>
    </w:p>
    <w:p>
      <w:pPr>
        <w:pStyle w:val="Heading2"/>
        <w:spacing w:before="300" w:after="160"/>
      </w:pPr>
      <w:r>
        <w:rPr>
          <w:rFonts w:ascii="Arial" w:cs="Arial" w:eastAsia="Arial" w:hAnsi="Arial"/>
          <w:b/>
          <w:bCs/>
          <w:color w:val="2E5090"/>
          <w:sz w:val="26"/>
          <w:szCs w:val="26"/>
        </w:rPr>
        <w:t xml:space="preserve">5.3 Admin (Operations / VP / CFO)</w:t>
      </w:r>
    </w:p>
    <w:p>
      <w:pPr>
        <w:spacing w:after="100"/>
      </w:pPr>
      <w:r>
        <w:rPr>
          <w:rFonts w:ascii="Arial" w:cs="Arial" w:eastAsia="Arial" w:hAnsi="Arial"/>
          <w:b/>
          <w:bCs/>
          <w:sz w:val="20"/>
          <w:szCs w:val="20"/>
        </w:rPr>
        <w:t xml:space="preserve">Primary cognitive task: </w:t>
      </w:r>
      <w:r>
        <w:rPr>
          <w:rFonts w:ascii="Arial" w:cs="Arial" w:eastAsia="Arial" w:hAnsi="Arial"/>
          <w:sz w:val="20"/>
          <w:szCs w:val="20"/>
        </w:rPr>
        <w:t xml:space="preserve">Governance, system health assessment, plan optimization.</w:t>
      </w:r>
    </w:p>
    <w:p>
      <w:pPr>
        <w:spacing w:after="100"/>
      </w:pPr>
      <w:r>
        <w:rPr>
          <w:rFonts w:ascii="Arial" w:cs="Arial" w:eastAsia="Arial" w:hAnsi="Arial"/>
          <w:b/>
          <w:bCs/>
          <w:sz w:val="20"/>
          <w:szCs w:val="20"/>
        </w:rPr>
        <w:t xml:space="preserve">Intelligence priority: </w:t>
      </w:r>
      <w:r>
        <w:rPr>
          <w:rFonts w:ascii="Arial" w:cs="Arial" w:eastAsia="Arial" w:hAnsi="Arial"/>
          <w:sz w:val="20"/>
          <w:szCs w:val="20"/>
        </w:rPr>
        <w:t xml:space="preserve">System health → exceptions requiring action → optimization opportunities (dual-variable: revenue + cost) → lifecycle state → distribution shape.</w:t>
      </w:r>
    </w:p>
    <w:p>
      <w:pPr>
        <w:spacing w:after="100"/>
      </w:pPr>
      <w:r>
        <w:rPr>
          <w:rFonts w:ascii="Arial" w:cs="Arial" w:eastAsia="Arial" w:hAnsi="Arial"/>
          <w:b/>
          <w:bCs/>
          <w:sz w:val="20"/>
          <w:szCs w:val="20"/>
        </w:rPr>
        <w:t xml:space="preserve">Agency tier: </w:t>
      </w:r>
      <w:r>
        <w:rPr>
          <w:rFonts w:ascii="Arial" w:cs="Arial" w:eastAsia="Arial" w:hAnsi="Arial"/>
          <w:sz w:val="20"/>
          <w:szCs w:val="20"/>
        </w:rPr>
        <w:t xml:space="preserve">Tier 2–3. Action Cards with Simulate + Apply for plan structure changes. Requires secondary confirmation for changes affecting &gt;20% of entities.</w:t>
      </w:r>
    </w:p>
    <w:p>
      <w:pPr>
        <w:spacing w:after="100"/>
      </w:pPr>
      <w:r>
        <w:rPr>
          <w:rFonts w:ascii="Arial" w:cs="Arial" w:eastAsia="Arial" w:hAnsi="Arial"/>
          <w:b/>
          <w:bCs/>
          <w:sz w:val="20"/>
          <w:szCs w:val="20"/>
        </w:rPr>
        <w:t xml:space="preserve">Density: </w:t>
      </w:r>
      <w:r>
        <w:rPr>
          <w:rFonts w:ascii="Arial" w:cs="Arial" w:eastAsia="Arial" w:hAnsi="Arial"/>
          <w:sz w:val="20"/>
          <w:szCs w:val="20"/>
        </w:rPr>
        <w:t xml:space="preserve">Highest. Multiple visualization types. Tables acceptable. Dense grid layouts.</w:t>
      </w:r>
    </w:p>
    <w:p>
      <w:pPr>
        <w:spacing w:after="100"/>
      </w:pPr>
      <w:r>
        <w:rPr>
          <w:rFonts w:ascii="Arial" w:cs="Arial" w:eastAsia="Arial" w:hAnsi="Arial"/>
          <w:b/>
          <w:bCs/>
          <w:sz w:val="20"/>
          <w:szCs w:val="20"/>
        </w:rPr>
        <w:t xml:space="preserve">Ambient environment: </w:t>
      </w:r>
      <w:r>
        <w:rPr>
          <w:rFonts w:ascii="Arial" w:cs="Arial" w:eastAsia="Arial" w:hAnsi="Arial"/>
          <w:sz w:val="20"/>
          <w:szCs w:val="20"/>
        </w:rPr>
        <w:t xml:space="preserve">Indigo (analytical, authority, trustworthiness).</w:t>
      </w:r>
    </w:p>
    <w:p>
      <w:pPr>
        <w:spacing w:after="100"/>
      </w:pPr>
      <w:r>
        <w:rPr>
          <w:rFonts w:ascii="Arial" w:cs="Arial" w:eastAsia="Arial" w:hAnsi="Arial"/>
          <w:b/>
          <w:bCs/>
          <w:sz w:val="20"/>
          <w:szCs w:val="20"/>
        </w:rPr>
        <w:t xml:space="preserve">Closed-loop reward: </w:t>
      </w:r>
      <w:r>
        <w:rPr>
          <w:rFonts w:ascii="Arial" w:cs="Arial" w:eastAsia="Arial" w:hAnsi="Arial"/>
          <w:sz w:val="20"/>
          <w:szCs w:val="20"/>
        </w:rPr>
        <w:t xml:space="preserve">“The tier adjustment you applied last month moved 4 entities into Premium. Revenue impact: +$32K. Cost impact: +$8.4K. Actual ROI: 3.8x (projected was 4.0x). System accuracy improving.”</w:t>
      </w:r>
    </w:p>
    <w:p>
      <w:r>
        <w:br w:type="page"/>
      </w:r>
    </w:p>
    <w:p>
      <w:pPr>
        <w:pStyle w:val="Heading1"/>
        <w:spacing w:before="400" w:after="200"/>
      </w:pPr>
      <w:r>
        <w:rPr>
          <w:rFonts w:ascii="Arial" w:cs="Arial" w:eastAsia="Arial" w:hAnsi="Arial"/>
          <w:b/>
          <w:bCs/>
          <w:color w:val="1B2A4A"/>
          <w:sz w:val="32"/>
          <w:szCs w:val="32"/>
        </w:rPr>
        <w:t xml:space="preserve">6. The Flywheel Closes the Loop</w:t>
      </w:r>
    </w:p>
    <w:p>
      <w:pPr>
        <w:spacing w:after="120"/>
      </w:pPr>
      <w:r>
        <w:rPr>
          <w:rFonts w:ascii="Arial" w:cs="Arial" w:eastAsia="Arial" w:hAnsi="Arial"/>
          <w:sz w:val="20"/>
          <w:szCs w:val="20"/>
        </w:rPr>
        <w:t xml:space="preserve">The experience is not a static design that CC implements once. It is a dynamic system that improves with every interaction. Every action the user takes generates signals that feed the Three-Scope Flywheel:</w:t>
      </w:r>
    </w:p>
    <w:p>
      <w:pPr>
        <w:pStyle w:val="Heading2"/>
        <w:spacing w:before="300" w:after="160"/>
      </w:pPr>
      <w:r>
        <w:rPr>
          <w:rFonts w:ascii="Arial" w:cs="Arial" w:eastAsia="Arial" w:hAnsi="Arial"/>
          <w:b/>
          <w:bCs/>
          <w:color w:val="2E5090"/>
          <w:sz w:val="26"/>
          <w:szCs w:val="26"/>
        </w:rPr>
        <w:t xml:space="preserve">6.1 Tenant Flywheel (Privacy-Isolated)</w:t>
      </w:r>
    </w:p>
    <w:p>
      <w:pPr>
        <w:spacing w:after="120"/>
      </w:pPr>
      <w:r>
        <w:rPr>
          <w:rFonts w:ascii="Arial" w:cs="Arial" w:eastAsia="Arial" w:hAnsi="Arial"/>
          <w:sz w:val="20"/>
          <w:szCs w:val="20"/>
        </w:rPr>
        <w:t xml:space="preserve">Learns this tenant’s specific patterns: which entities respond to coaching, which plan components drive behavior, which actions managers take when presented with recommendations. Stored per-tenant. Never shared.</w:t>
      </w:r>
    </w:p>
    <w:p>
      <w:pPr>
        <w:pStyle w:val="Heading2"/>
        <w:spacing w:before="300" w:after="160"/>
      </w:pPr>
      <w:r>
        <w:rPr>
          <w:rFonts w:ascii="Arial" w:cs="Arial" w:eastAsia="Arial" w:hAnsi="Arial"/>
          <w:b/>
          <w:bCs/>
          <w:color w:val="2E5090"/>
          <w:sz w:val="26"/>
          <w:szCs w:val="26"/>
        </w:rPr>
        <w:t xml:space="preserve">6.2 Foundational Flywheel (Anonymized, Structural)</w:t>
      </w:r>
    </w:p>
    <w:p>
      <w:pPr>
        <w:spacing w:after="120"/>
      </w:pPr>
      <w:r>
        <w:rPr>
          <w:rFonts w:ascii="Arial" w:cs="Arial" w:eastAsia="Arial" w:hAnsi="Arial"/>
          <w:sz w:val="20"/>
          <w:szCs w:val="20"/>
        </w:rPr>
        <w:t xml:space="preserve">Learns patterns that repeat across tenants: entities within 10% of tier boundaries accelerate velocity; retrospective tier structures produce higher cross-boundary conversion rates; late-period acceleration is stronger in monthly cycles than quarterly. These structural patterns provide priors for new tenants before tenant-specific data exists.</w:t>
      </w:r>
    </w:p>
    <w:p>
      <w:pPr>
        <w:pStyle w:val="Heading2"/>
        <w:spacing w:before="300" w:after="160"/>
      </w:pPr>
      <w:r>
        <w:rPr>
          <w:rFonts w:ascii="Arial" w:cs="Arial" w:eastAsia="Arial" w:hAnsi="Arial"/>
          <w:b/>
          <w:bCs/>
          <w:color w:val="2E5090"/>
          <w:sz w:val="26"/>
          <w:szCs w:val="26"/>
        </w:rPr>
        <w:t xml:space="preserve">6.3 Domain Flywheel (Anonymized, Vertical)</w:t>
      </w:r>
    </w:p>
    <w:p>
      <w:pPr>
        <w:spacing w:after="120"/>
      </w:pPr>
      <w:r>
        <w:rPr>
          <w:rFonts w:ascii="Arial" w:cs="Arial" w:eastAsia="Arial" w:hAnsi="Arial"/>
          <w:sz w:val="20"/>
          <w:szCs w:val="20"/>
        </w:rPr>
        <w:t xml:space="preserve">Learns domain-specific patterns: banking entities have higher gate-failure rates than logistics entities; restaurant servers respond to gamification more than loan officers; channel partners optimize across programs differently than direct sales reps. These patterns inform Domain Agent intelligence for vertical-specific recommendations.</w:t>
      </w:r>
    </w:p>
    <w:p>
      <w:pPr>
        <w:pStyle w:val="Heading2"/>
        <w:spacing w:before="300" w:after="160"/>
      </w:pPr>
      <w:r>
        <w:rPr>
          <w:rFonts w:ascii="Arial" w:cs="Arial" w:eastAsia="Arial" w:hAnsi="Arial"/>
          <w:b/>
          <w:bCs/>
          <w:color w:val="2E5090"/>
          <w:sz w:val="26"/>
          <w:szCs w:val="26"/>
        </w:rPr>
        <w:t xml:space="preserve">6.4 The Compound Learning Moat</w:t>
      </w:r>
    </w:p>
    <w:p>
      <w:pPr>
        <w:spacing w:after="120"/>
      </w:pPr>
      <w:r>
        <w:rPr>
          <w:rFonts w:ascii="Arial" w:cs="Arial" w:eastAsia="Arial" w:hAnsi="Arial"/>
          <w:sz w:val="20"/>
          <w:szCs w:val="20"/>
        </w:rPr>
        <w:t xml:space="preserve">Every interaction makes the platform smarter. Every tenant that uses vialuce contributes (anonymized) structural patterns to the foundational flywheel. Every domain-specific tenant enriches the domain flywheel. The result: tenant #100 gets dramatically better intelligence on day one than tenant #1 did, because the system has accumulated structural and domain knowledge from 99 prior tenants. This is the compound learning moat — the strategic asset that competitors cannot copy because it is the product of time × customers × interactions.</w:t>
      </w:r>
    </w:p>
    <w:p>
      <w:pPr>
        <w:spacing w:after="120"/>
      </w:pPr>
      <w:r>
        <w:rPr>
          <w:rFonts w:ascii="Arial" w:cs="Arial" w:eastAsia="Arial" w:hAnsi="Arial"/>
          <w:sz w:val="20"/>
          <w:szCs w:val="20"/>
        </w:rPr>
        <w:t xml:space="preserve">The closed-loop reward system is both the user experience and the flywheel input. When the platform shows a manager “your coached entities improved 23%,” it is simultaneously: (a) rewarding the manager for following the recommendation, (b) learning that this type of recommendation produced adherence, and (c) recording the measured impact for future confidence calibration. One event serves three purposes.</w:t>
      </w:r>
    </w:p>
    <w:p>
      <w:r>
        <w:br w:type="page"/>
      </w:r>
    </w:p>
    <w:p>
      <w:pPr>
        <w:pStyle w:val="Heading1"/>
        <w:spacing w:before="400" w:after="200"/>
      </w:pPr>
      <w:r>
        <w:rPr>
          <w:rFonts w:ascii="Arial" w:cs="Arial" w:eastAsia="Arial" w:hAnsi="Arial"/>
          <w:b/>
          <w:bCs/>
          <w:color w:val="1B2A4A"/>
          <w:sz w:val="32"/>
          <w:szCs w:val="32"/>
        </w:rPr>
        <w:t xml:space="preserve">7. The Test Battery</w:t>
      </w:r>
    </w:p>
    <w:p>
      <w:pPr>
        <w:spacing w:after="120"/>
      </w:pPr>
      <w:r>
        <w:rPr>
          <w:rFonts w:ascii="Arial" w:cs="Arial" w:eastAsia="Arial" w:hAnsi="Arial"/>
          <w:sz w:val="20"/>
          <w:szCs w:val="20"/>
        </w:rPr>
        <w:t xml:space="preserve">Every element, every surface, every interaction in the platform must pass ALL of these tests. This is not aspirational. It is a gate.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10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Question</w:t>
            </w:r>
          </w:p>
        </w:tc>
        <w:tc>
          <w:tcPr>
            <w:tcW w:type="dxa" w:w="4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Fail Condition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IAP Gate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Does this element deliver Intelligence, Acceleration, or Performance?</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Fails all three → remove.</w:t>
            </w:r>
          </w:p>
        </w:tc>
      </w:tr>
      <w:tr>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Five Elements</w:t>
            </w:r>
          </w:p>
        </w:tc>
        <w:tc>
          <w:tcPr>
            <w:tcW w:type="dxa" w:w="3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Does this element contain value + context + comparison + action + impact?</w:t>
            </w:r>
          </w:p>
        </w:tc>
        <w:tc>
          <w:tcPr>
            <w:tcW w:type="dxa" w:w="41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Missing any element → incomplete.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Thermostat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Does this element tell the user what to DO, not just what IS?</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action → thermometer, not thermostat.</w:t>
            </w:r>
          </w:p>
        </w:tc>
      </w:tr>
      <w:tr>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Action Proximity</w:t>
            </w:r>
          </w:p>
        </w:tc>
        <w:tc>
          <w:tcPr>
            <w:tcW w:type="dxa" w:w="3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Can the user act from this element without navigating away?</w:t>
            </w:r>
          </w:p>
        </w:tc>
        <w:tc>
          <w:tcPr>
            <w:tcW w:type="dxa" w:w="41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Requires navigation → action is not proximate.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Cognitive Fit (DS-003)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Does the visual form match the decision task?</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 mismatch → cognitive friction.</w:t>
            </w:r>
          </w:p>
        </w:tc>
      </w:tr>
      <w:tr>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Reference Frame (DS-003)</w:t>
            </w:r>
          </w:p>
        </w:tc>
        <w:tc>
          <w:tcPr>
            <w:tcW w:type="dxa" w:w="3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Can the user answer “is that good or bad?” at a glance?</w:t>
            </w:r>
          </w:p>
        </w:tc>
        <w:tc>
          <w:tcPr>
            <w:tcW w:type="dxa" w:w="41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No reference → meaningless number.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Korean Test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Would this work for a Korean company with Korean data?</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Any hardcoded name/label/language → fail.</w:t>
            </w:r>
          </w:p>
        </w:tc>
      </w:tr>
      <w:tr>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Confidence Disclosure</w:t>
            </w:r>
          </w:p>
        </w:tc>
        <w:tc>
          <w:tcPr>
            <w:tcW w:type="dxa" w:w="3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Does the system honestly state what it knows vs what it’s estimating?</w:t>
            </w:r>
          </w:p>
        </w:tc>
        <w:tc>
          <w:tcPr>
            <w:tcW w:type="dxa" w:w="41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Presenting estimates as facts → trust violation.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Closed-Loop Visibility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 the user see the impact of their prior actions?</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feedback on prior actions → broken loop.</w:t>
            </w:r>
          </w:p>
        </w:tc>
      </w:tr>
      <w:tr>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Scale (150K)</w:t>
            </w:r>
          </w:p>
        </w:tc>
        <w:tc>
          <w:tcPr>
            <w:tcW w:type="dxa" w:w="3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Would this work at 150,000 entities?</w:t>
            </w:r>
          </w:p>
        </w:tc>
        <w:tc>
          <w:tcPr>
            <w:tcW w:type="dxa" w:w="41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Full-population queries → fail.</w:t>
            </w:r>
          </w:p>
        </w:tc>
      </w:tr>
    </w:tbl>
    <w:p>
      <w:r>
        <w:br w:type="page"/>
      </w:r>
    </w:p>
    <w:p>
      <w:pPr>
        <w:pStyle w:val="Heading1"/>
        <w:spacing w:before="400" w:after="200"/>
      </w:pPr>
      <w:r>
        <w:rPr>
          <w:rFonts w:ascii="Arial" w:cs="Arial" w:eastAsia="Arial" w:hAnsi="Arial"/>
          <w:b/>
          <w:bCs/>
          <w:color w:val="1B2A4A"/>
          <w:sz w:val="32"/>
          <w:szCs w:val="32"/>
        </w:rPr>
        <w:t xml:space="preserve">8. Research Foundation</w:t>
      </w:r>
    </w:p>
    <w:p>
      <w:pPr>
        <w:spacing w:after="120"/>
      </w:pPr>
      <w:r>
        <w:rPr>
          <w:rFonts w:ascii="Arial" w:cs="Arial" w:eastAsia="Arial" w:hAnsi="Arial"/>
          <w:sz w:val="20"/>
          <w:szCs w:val="20"/>
        </w:rPr>
        <w:t xml:space="preserve">This specification is derived from proven research in the applicable discipline (Decision 124: Research-Derived Design). Every design choice traces to evidence.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50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Design Choice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Research Source</w:t>
            </w:r>
          </w:p>
        </w:tc>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Intent-Based Outcome Specification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Nielsen (2025), NN/G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Third UI paradigm. User states desired outcome; system determines execution.</w:t>
            </w:r>
          </w:p>
        </w:tc>
      </w:tr>
      <w:tr>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Signal-to-Action prioritized workflow</w:t>
            </w:r>
          </w:p>
        </w:tc>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Salesloft Rhythm (2023–2025)</w:t>
            </w:r>
          </w:p>
        </w:tc>
        <w:tc>
          <w:tcPr>
            <w:tcW w:type="dxa" w:w="4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39% more tasks/day, 57% productivity lift, 23% more meetings, 20% shorter deals. Proven at 5,000+ companies.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Adaptive UI improves task completion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Liu et al. (2024), Adaptive UI/UX Framework</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Significant improvements in task completion, satisfaction, and engagement vs static interfaces.</w:t>
            </w:r>
          </w:p>
        </w:tc>
      </w:tr>
      <w:tr>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Context-aware EHR adaptation</w:t>
            </w:r>
          </w:p>
        </w:tc>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Rizvi (2024)</w:t>
            </w:r>
          </w:p>
        </w:tc>
        <w:tc>
          <w:tcPr>
            <w:tcW w:type="dxa" w:w="4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40% reduced cognitive load, 35% improved task completion when interface adapts to user specialty.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Goal-Gradient Effect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Hull (1932), Kivetz et al. (2006)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Motivation increases as perceived distance to goal decreases. → Gap framing near goal.</w:t>
            </w:r>
          </w:p>
        </w:tc>
      </w:tr>
      <w:tr>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Social Comparison</w:t>
            </w:r>
          </w:p>
        </w:tc>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Festinger (1954), Li (2024)</w:t>
            </w:r>
          </w:p>
        </w:tc>
        <w:tc>
          <w:tcPr>
            <w:tcW w:type="dxa" w:w="4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Slight upward comparison motivates. Large gaps demotivate. → Relative leaderboard, anonymize below median.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Feedback Intervention Theory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Kluger &amp; DeNisi (1996)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Task-focused feedback improves performance. Self-focused feedback can harm it. → Action-oriented, not evaluative.</w:t>
            </w:r>
          </w:p>
        </w:tc>
      </w:tr>
      <w:tr>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Cognitive Load Theory</w:t>
            </w:r>
          </w:p>
        </w:tc>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Sweller (1988), Kahneman (2011)</w:t>
            </w:r>
          </w:p>
        </w:tc>
        <w:tc>
          <w:tcPr>
            <w:tcW w:type="dxa" w:w="4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Working memory has limits. → Density gradient by persona. Progressive disclosure.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Cognitive Fit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Vessey (1991)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Visual form must match decision task for efficient processing. → DS-003 Visualization Vocabulary.</w:t>
            </w:r>
          </w:p>
        </w:tc>
      </w:tr>
      <w:tr>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Color Psychology</w:t>
            </w:r>
          </w:p>
        </w:tc>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Mehta &amp; Zhu (2009)</w:t>
            </w:r>
          </w:p>
        </w:tc>
        <w:tc>
          <w:tcPr>
            <w:tcW w:type="dxa" w:w="4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Blue promotes analytical thinking; warm tones broaden attention. → Persona ambient gradients.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Self-Determination Theory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Deci &amp; Ryan (2020)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Autonomy, competence, relatedness drive intrinsic motivation. → Persona-specific motivation models.</w:t>
            </w:r>
          </w:p>
        </w:tc>
      </w:tr>
      <w:tr>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Generative UI / Outcome-Oriented Design</w:t>
            </w:r>
          </w:p>
        </w:tc>
        <w:tc>
          <w:tcPr>
            <w:tcW w:type="dxa" w:w="2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NN/G (2025)</w:t>
            </w:r>
          </w:p>
        </w:tc>
        <w:tc>
          <w:tcPr>
            <w:tcW w:type="dxa" w:w="4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Interfaces generated in real-time for user context. → Confidence-tiered adaptive experience.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Prospect Theory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Kahneman &amp; Tversky (1979)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Loss aversion ~2x gain pleasure. → Clawback framing must motivate protective behavior without paralysis.</w:t>
            </w:r>
          </w:p>
        </w:tc>
      </w:tr>
    </w:tbl>
    <w:p>
      <w:r>
        <w:br w:type="page"/>
      </w:r>
    </w:p>
    <w:p>
      <w:pPr>
        <w:pStyle w:val="Heading1"/>
        <w:spacing w:before="400" w:after="200"/>
      </w:pPr>
      <w:r>
        <w:rPr>
          <w:rFonts w:ascii="Arial" w:cs="Arial" w:eastAsia="Arial" w:hAnsi="Arial"/>
          <w:b/>
          <w:bCs/>
          <w:color w:val="1B2A4A"/>
          <w:sz w:val="32"/>
          <w:szCs w:val="32"/>
        </w:rPr>
        <w:t xml:space="preserve">9. What This Replaces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70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Previous Concept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Replaced By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DS-011 (Briefing Experience Prototype)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SUPERSEDED</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Briefing was a fixed page with persona variants. DS-013 replaces it with an adaptive intelligence stream that governs the entire platform.</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DS-001 Section 6 (Persona Surfaces)</w:t>
            </w:r>
          </w:p>
        </w:tc>
        <w:tc>
          <w:tcPr>
            <w:tcW w:type="dxa" w:w="1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SUPERSEDED</w:t>
            </w:r>
          </w:p>
        </w:tc>
        <w:tc>
          <w:tcPr>
            <w:tcW w:type="dxa" w:w="57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Persona no longer determines which page you see. Persona determines which intelligence ranks highest and which agency tier governs interaction.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Dashboard-first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ELIMINATED</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dashboard. The intelligence stream is the primary experience.</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Briefing-first model</w:t>
            </w:r>
          </w:p>
        </w:tc>
        <w:tc>
          <w:tcPr>
            <w:tcW w:type="dxa" w:w="1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ABSORBED</w:t>
            </w:r>
          </w:p>
        </w:tc>
        <w:tc>
          <w:tcPr>
            <w:tcW w:type="dxa" w:w="57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The Briefing was a step toward the intelligence stream. The concept is correct (persona-adapted, AI-generated, action-embedded). The implementation as a fixed page was wrong.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/operate, /perform, /briefing as separate surfaces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 BE CONSOLIDATED</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single adaptive surface that reads persona, CRL confidence, and flywheel state to determine what the user sees.</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Sidebar as primary navigation</w:t>
            </w:r>
          </w:p>
        </w:tc>
        <w:tc>
          <w:tcPr>
            <w:tcW w:type="dxa" w:w="1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DEMOTED</w:t>
            </w:r>
          </w:p>
        </w:tc>
        <w:tc>
          <w:tcPr>
            <w:tcW w:type="dxa" w:w="57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Sidebar provides access to specific operational tasks. It is not the primary interaction path. The intelligence stream is.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DS-003 Visualization Vocabulary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PRESERVED AND EXTENDED</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visualization components, cognitive fit rules, and color encoding rules remain valid. DS-013 adds the intelligence stream container and action proximity requirements.</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DS-008 Series (Performance Intelligence)</w:t>
            </w:r>
          </w:p>
        </w:tc>
        <w:tc>
          <w:tcPr>
            <w:tcW w:type="dxa" w:w="1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PRESERVED AND GOVERNING</w:t>
            </w:r>
          </w:p>
        </w:tc>
        <w:tc>
          <w:tcPr>
            <w:tcW w:type="dxa" w:w="57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DS-008 provides the research foundation and structural definitions that DS-013 implements across the entire platform.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Three-Scope Flywheel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PRESERVED AND CENTRAL</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flywheel is the engine of adaptation. DS-013 makes it visible to users through closed-loop impact reporting.</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CRL (Decision 110)</w:t>
            </w:r>
          </w:p>
        </w:tc>
        <w:tc>
          <w:tcPr>
            <w:tcW w:type="dxa" w:w="16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EXTENDED</w:t>
            </w:r>
          </w:p>
        </w:tc>
        <w:tc>
          <w:tcPr>
            <w:tcW w:type="dxa" w:w="57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sz w:val="18"/>
                <w:szCs w:val="18"/>
              </w:rPr>
              <w:t xml:space="preserve">CRL governs not just SCI classification but the entire confidence tier system for the experience layer.</w:t>
            </w:r>
          </w:p>
        </w:tc>
      </w:tr>
    </w:tbl>
    <w:p>
      <w:r>
        <w:br w:type="page"/>
      </w:r>
    </w:p>
    <w:p>
      <w:pPr>
        <w:pStyle w:val="Heading1"/>
        <w:spacing w:before="400" w:after="200"/>
      </w:pPr>
      <w:r>
        <w:rPr>
          <w:rFonts w:ascii="Arial" w:cs="Arial" w:eastAsia="Arial" w:hAnsi="Arial"/>
          <w:b/>
          <w:bCs/>
          <w:color w:val="1B2A4A"/>
          <w:sz w:val="32"/>
          <w:szCs w:val="32"/>
        </w:rPr>
        <w:t xml:space="preserve">10. Implementation Path</w:t>
      </w:r>
    </w:p>
    <w:p>
      <w:pPr>
        <w:spacing w:after="120"/>
      </w:pPr>
      <w:r>
        <w:rPr>
          <w:rFonts w:ascii="Arial" w:cs="Arial" w:eastAsia="Arial" w:hAnsi="Arial"/>
          <w:sz w:val="20"/>
          <w:szCs w:val="20"/>
        </w:rPr>
        <w:t xml:space="preserve">DS-013 is a governing specification, not an OB prompt. Implementation will be phased across multiple OBs. The phasing follows the confidence tier model:</w:t>
      </w:r>
    </w:p>
    <w:p>
      <w:pPr>
        <w:pStyle w:val="Heading2"/>
        <w:spacing w:before="300" w:after="160"/>
      </w:pPr>
      <w:r>
        <w:rPr>
          <w:rFonts w:ascii="Arial" w:cs="Arial" w:eastAsia="Arial" w:hAnsi="Arial"/>
          <w:b/>
          <w:bCs/>
          <w:color w:val="2E5090"/>
          <w:sz w:val="26"/>
          <w:szCs w:val="26"/>
        </w:rPr>
        <w:t xml:space="preserve">10.1 Phase A: Cold-Start Intelligence Stream</w:t>
      </w:r>
    </w:p>
    <w:p>
      <w:pPr>
        <w:spacing w:after="120"/>
      </w:pPr>
      <w:r>
        <w:rPr>
          <w:rFonts w:ascii="Arial" w:cs="Arial" w:eastAsia="Arial" w:hAnsi="Arial"/>
          <w:sz w:val="20"/>
          <w:szCs w:val="20"/>
        </w:rPr>
        <w:t xml:space="preserve">Build the intelligence stream container and Cold-tier (Periods 1–2) content. Factual intelligence with structural actions. Archetype personas. No adaptation. Signal capture infrastructure active.</w:t>
      </w:r>
    </w:p>
    <w:p>
      <w:pPr>
        <w:spacing w:after="100"/>
      </w:pPr>
      <w:r>
        <w:rPr>
          <w:rFonts w:ascii="Arial" w:cs="Arial" w:eastAsia="Arial" w:hAnsi="Arial"/>
          <w:b/>
          <w:bCs/>
          <w:sz w:val="20"/>
          <w:szCs w:val="20"/>
        </w:rPr>
        <w:t xml:space="preserve">Proof: </w:t>
      </w:r>
      <w:r>
        <w:rPr>
          <w:rFonts w:ascii="Arial" w:cs="Arial" w:eastAsia="Arial" w:hAnsi="Arial"/>
          <w:sz w:val="20"/>
          <w:szCs w:val="20"/>
        </w:rPr>
        <w:t xml:space="preserve">BCL tenant renders intelligence stream with all five elements for each persona. Actions embedded. Navigation secondary.</w:t>
      </w:r>
    </w:p>
    <w:p>
      <w:pPr>
        <w:pStyle w:val="Heading2"/>
        <w:spacing w:before="300" w:after="160"/>
      </w:pPr>
      <w:r>
        <w:rPr>
          <w:rFonts w:ascii="Arial" w:cs="Arial" w:eastAsia="Arial" w:hAnsi="Arial"/>
          <w:b/>
          <w:bCs/>
          <w:color w:val="2E5090"/>
          <w:sz w:val="26"/>
          <w:szCs w:val="26"/>
        </w:rPr>
        <w:t xml:space="preserve">10.2 Phase B: Warm-Tier Activation</w:t>
      </w:r>
    </w:p>
    <w:p>
      <w:pPr>
        <w:spacing w:after="120"/>
      </w:pPr>
      <w:r>
        <w:rPr>
          <w:rFonts w:ascii="Arial" w:cs="Arial" w:eastAsia="Arial" w:hAnsi="Arial"/>
          <w:sz w:val="20"/>
          <w:szCs w:val="20"/>
        </w:rPr>
        <w:t xml:space="preserve">Activate trajectory computation, pace projection, allocation intelligence (DS-008-A2). Coaching priority for managers. Goal-gradient for reps. CRL confidence tracking on user behavior.</w:t>
      </w:r>
    </w:p>
    <w:p>
      <w:pPr>
        <w:spacing w:after="100"/>
      </w:pPr>
      <w:r>
        <w:rPr>
          <w:rFonts w:ascii="Arial" w:cs="Arial" w:eastAsia="Arial" w:hAnsi="Arial"/>
          <w:b/>
          <w:bCs/>
          <w:sz w:val="20"/>
          <w:szCs w:val="20"/>
        </w:rPr>
        <w:t xml:space="preserve">Proof: </w:t>
      </w:r>
      <w:r>
        <w:rPr>
          <w:rFonts w:ascii="Arial" w:cs="Arial" w:eastAsia="Arial" w:hAnsi="Arial"/>
          <w:sz w:val="20"/>
          <w:szCs w:val="20"/>
        </w:rPr>
        <w:t xml:space="preserve">BCL with 6 months of data shows trajectory-based recommendations. Coaching priority correctly identifies highest-ROI entity × component.</w:t>
      </w:r>
    </w:p>
    <w:p>
      <w:pPr>
        <w:pStyle w:val="Heading2"/>
        <w:spacing w:before="300" w:after="160"/>
      </w:pPr>
      <w:r>
        <w:rPr>
          <w:rFonts w:ascii="Arial" w:cs="Arial" w:eastAsia="Arial" w:hAnsi="Arial"/>
          <w:b/>
          <w:bCs/>
          <w:color w:val="2E5090"/>
          <w:sz w:val="26"/>
          <w:szCs w:val="26"/>
        </w:rPr>
        <w:t xml:space="preserve">10.3 Phase C: Section-Level Adaptation</w:t>
      </w:r>
    </w:p>
    <w:p>
      <w:pPr>
        <w:spacing w:after="120"/>
      </w:pPr>
      <w:r>
        <w:rPr>
          <w:rFonts w:ascii="Arial" w:cs="Arial" w:eastAsia="Arial" w:hAnsi="Arial"/>
          <w:sz w:val="20"/>
          <w:szCs w:val="20"/>
        </w:rPr>
        <w:t xml:space="preserve">CRL on user interaction signals crosses threshold. Intelligence stream reorders based on observed user preferences. Different users with the same persona see different orderings.</w:t>
      </w:r>
    </w:p>
    <w:p>
      <w:pPr>
        <w:spacing w:after="100"/>
      </w:pPr>
      <w:r>
        <w:rPr>
          <w:rFonts w:ascii="Arial" w:cs="Arial" w:eastAsia="Arial" w:hAnsi="Arial"/>
          <w:b/>
          <w:bCs/>
          <w:sz w:val="20"/>
          <w:szCs w:val="20"/>
        </w:rPr>
        <w:t xml:space="preserve">Proof: </w:t>
      </w:r>
      <w:r>
        <w:rPr>
          <w:rFonts w:ascii="Arial" w:cs="Arial" w:eastAsia="Arial" w:hAnsi="Arial"/>
          <w:sz w:val="20"/>
          <w:szCs w:val="20"/>
        </w:rPr>
        <w:t xml:space="preserve">Two different manager users see different section orderings after sufficient interaction history.</w:t>
      </w:r>
    </w:p>
    <w:p>
      <w:pPr>
        <w:pStyle w:val="Heading2"/>
        <w:spacing w:before="300" w:after="160"/>
      </w:pPr>
      <w:r>
        <w:rPr>
          <w:rFonts w:ascii="Arial" w:cs="Arial" w:eastAsia="Arial" w:hAnsi="Arial"/>
          <w:b/>
          <w:bCs/>
          <w:color w:val="2E5090"/>
          <w:sz w:val="26"/>
          <w:szCs w:val="26"/>
        </w:rPr>
        <w:t xml:space="preserve">10.4 Phase D: Hot-Tier Intelligence + Closed Loop</w:t>
      </w:r>
    </w:p>
    <w:p>
      <w:pPr>
        <w:spacing w:after="120"/>
      </w:pPr>
      <w:r>
        <w:rPr>
          <w:rFonts w:ascii="Arial" w:cs="Arial" w:eastAsia="Arial" w:hAnsi="Arial"/>
          <w:sz w:val="20"/>
          <w:szCs w:val="20"/>
        </w:rPr>
        <w:t xml:space="preserve">Full allocation intelligence with interaction effects. Tier 3 agency for admins. Adaptive challenge generation. Closed-loop impact reporting showing users the measured effect of their prior actions.</w:t>
      </w:r>
    </w:p>
    <w:p>
      <w:pPr>
        <w:spacing w:after="100"/>
      </w:pPr>
      <w:r>
        <w:rPr>
          <w:rFonts w:ascii="Arial" w:cs="Arial" w:eastAsia="Arial" w:hAnsi="Arial"/>
          <w:b/>
          <w:bCs/>
          <w:sz w:val="20"/>
          <w:szCs w:val="20"/>
        </w:rPr>
        <w:t xml:space="preserve">Proof: </w:t>
      </w:r>
      <w:r>
        <w:rPr>
          <w:rFonts w:ascii="Arial" w:cs="Arial" w:eastAsia="Arial" w:hAnsi="Arial"/>
          <w:sz w:val="20"/>
          <w:szCs w:val="20"/>
        </w:rPr>
        <w:t xml:space="preserve">Admin applies a tier adjustment. Next period, the intelligence stream shows the actual impact vs projected impact. The flywheel’s accuracy improves visibly.</w:t>
      </w:r>
    </w:p>
    <w:p>
      <w:pPr>
        <w:pStyle w:val="Heading2"/>
        <w:spacing w:before="300" w:after="160"/>
      </w:pPr>
      <w:r>
        <w:rPr>
          <w:rFonts w:ascii="Arial" w:cs="Arial" w:eastAsia="Arial" w:hAnsi="Arial"/>
          <w:b/>
          <w:bCs/>
          <w:color w:val="2E5090"/>
          <w:sz w:val="26"/>
          <w:szCs w:val="26"/>
        </w:rPr>
        <w:t xml:space="preserve">10.5 Phase E: Temporal Adaptation</w:t>
      </w:r>
    </w:p>
    <w:p>
      <w:pPr>
        <w:spacing w:after="120"/>
      </w:pPr>
      <w:r>
        <w:rPr>
          <w:rFonts w:ascii="Arial" w:cs="Arial" w:eastAsia="Arial" w:hAnsi="Arial"/>
          <w:sz w:val="20"/>
          <w:szCs w:val="20"/>
        </w:rPr>
        <w:t xml:space="preserve">Platform recognizes temporal patterns in user behavior. Monday morning experience differs from Friday afternoon. Period-start experience differs from period-end. The system anticipates needs based on when the user arrives.</w:t>
      </w:r>
    </w:p>
    <w:p>
      <w:pPr>
        <w:spacing w:after="100"/>
      </w:pPr>
      <w:r>
        <w:rPr>
          <w:rFonts w:ascii="Arial" w:cs="Arial" w:eastAsia="Arial" w:hAnsi="Arial"/>
          <w:b/>
          <w:bCs/>
          <w:sz w:val="20"/>
          <w:szCs w:val="20"/>
        </w:rPr>
        <w:t xml:space="preserve">Proof: </w:t>
      </w:r>
      <w:r>
        <w:rPr>
          <w:rFonts w:ascii="Arial" w:cs="Arial" w:eastAsia="Arial" w:hAnsi="Arial"/>
          <w:sz w:val="20"/>
          <w:szCs w:val="20"/>
        </w:rPr>
        <w:t xml:space="preserve">A manager who consistently logs in Monday mornings sees a weekly coaching agenda without requesting it.</w:t>
      </w:r>
    </w:p>
    <w:p>
      <w:pPr>
        <w:spacing w:after="60"/>
      </w:pPr>
    </w:p>
    <w:p>
      <w:pPr>
        <w:spacing w:after="120"/>
      </w:pPr>
      <w:r>
        <w:rPr>
          <w:rFonts w:ascii="Arial" w:cs="Arial" w:eastAsia="Arial" w:hAnsi="Arial"/>
          <w:sz w:val="20"/>
          <w:szCs w:val="20"/>
        </w:rPr>
        <w:t xml:space="preserve">Each phase is a vertical slice: the intelligence must flow through calculation results, the Insight Agent must synthesize it, the intelligence stream must render it with proximate actions, and the user must see the result. Engine and experience together. Always.</w:t>
      </w:r>
    </w:p>
    <w:p>
      <w:pPr>
        <w:spacing w:after="60"/>
      </w:pPr>
    </w:p>
    <w:p>
      <w:pPr>
        <w:spacing w:after="60"/>
      </w:pPr>
    </w:p>
    <w:p>
      <w:pPr>
        <w:pBdr>
          <w:top w:val="single" w:color="1B2A4A" w:sz="4" w:space="8"/>
        </w:pBdr>
        <w:spacing w:before="400"/>
        <w:jc w:val="center"/>
      </w:pPr>
      <w:r>
        <w:rPr>
          <w:rFonts w:ascii="Arial" w:cs="Arial" w:eastAsia="Arial" w:hAnsi="Arial"/>
          <w:b/>
          <w:bCs/>
          <w:color w:val="1B2A4A"/>
          <w:sz w:val="20"/>
          <w:szCs w:val="20"/>
        </w:rPr>
        <w:t xml:space="preserve">vialuce.ai</w:t>
      </w:r>
    </w:p>
    <w:p>
      <w:pPr>
        <w:jc w:val="center"/>
      </w:pPr>
      <w:r>
        <w:rPr>
          <w:rFonts w:ascii="Arial" w:cs="Arial" w:eastAsia="Arial" w:hAnsi="Arial"/>
          <w:i/>
          <w:iCs/>
          <w:color w:val="888888"/>
          <w:sz w:val="18"/>
          <w:szCs w:val="18"/>
        </w:rPr>
        <w:t xml:space="preserve">Intelligence. Acceleration. Performance.</w:t>
      </w:r>
    </w:p>
    <w:p>
      <w:pPr>
        <w:spacing w:after="80"/>
        <w:jc w:val="center"/>
      </w:pPr>
      <w:r>
        <w:rPr>
          <w:rFonts w:ascii="Arial" w:cs="Arial" w:eastAsia="Arial" w:hAnsi="Arial"/>
          <w:i/>
          <w:iCs/>
          <w:color w:val="888888"/>
          <w:sz w:val="18"/>
          <w:szCs w:val="18"/>
        </w:rPr>
        <w:t xml:space="preserve">The user does not navigate to intelligence. Intelligence finds the user.</w:t>
      </w:r>
    </w:p>
    <w:p>
      <w:pPr>
        <w:spacing w:after="200"/>
        <w:jc w:val="center"/>
      </w:pPr>
      <w:r>
        <w:rPr>
          <w:rFonts w:ascii="Arial" w:cs="Arial" w:eastAsia="Arial" w:hAnsi="Arial"/>
          <w:i/>
          <w:iCs/>
          <w:color w:val="888888"/>
          <w:sz w:val="18"/>
          <w:szCs w:val="18"/>
        </w:rPr>
        <w:t xml:space="preserve">Every insight has an action. Every action has a measured result. Every result makes the system smarter.</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vialuce.ai  |  Intelligence. Acceleration. Performance.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jc w:val="right"/>
    </w:pPr>
    <w:r>
      <w:rPr>
        <w:rFonts w:ascii="Arial" w:cs="Arial" w:eastAsia="Arial" w:hAnsi="Arial"/>
        <w:b/>
        <w:bCs/>
        <w:color w:val="1B2A4A"/>
        <w:sz w:val="16"/>
        <w:szCs w:val="16"/>
      </w:rPr>
      <w:t xml:space="preserve">vialuce</w:t>
    </w:r>
    <w:r>
      <w:rPr>
        <w:rFonts w:ascii="Arial" w:cs="Arial" w:eastAsia="Arial" w:hAnsi="Arial"/>
        <w:color w:val="888888"/>
        <w:sz w:val="16"/>
        <w:szCs w:val="16"/>
      </w:rPr>
      <w:t xml:space="preserve">  |  DS-013: Platform Experience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3A6E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2026-03-11T03:06:10.207Z</dcterms:created>
  <dcterms:modified xsi:type="dcterms:W3CDTF">2026-03-11T03:06:10.208Z</dcterms:modified>
</cp:coreProperties>
</file>

<file path=docProps/custom.xml><?xml version="1.0" encoding="utf-8"?>
<Properties xmlns="http://schemas.openxmlformats.org/officeDocument/2006/custom-properties" xmlns:vt="http://schemas.openxmlformats.org/officeDocument/2006/docPropsVTypes"/>
</file>