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Edwin Copeland</w:t>
      </w:r>
    </w:p>
    <w:p w:rsidR="00000000" w:rsidDel="00000000" w:rsidP="00000000" w:rsidRDefault="00000000" w:rsidRPr="00000000" w14:paraId="00000002">
      <w:pPr>
        <w:jc w:val="right"/>
        <w:rPr/>
      </w:pPr>
      <w:r w:rsidDel="00000000" w:rsidR="00000000" w:rsidRPr="00000000">
        <w:rPr>
          <w:rtl w:val="0"/>
        </w:rPr>
        <w:t xml:space="preserve">App Dev Fundamentals</w:t>
      </w:r>
    </w:p>
    <w:p w:rsidR="00000000" w:rsidDel="00000000" w:rsidP="00000000" w:rsidRDefault="00000000" w:rsidRPr="00000000" w14:paraId="00000003">
      <w:pPr>
        <w:jc w:val="right"/>
        <w:rPr/>
      </w:pPr>
      <w:r w:rsidDel="00000000" w:rsidR="00000000" w:rsidRPr="00000000">
        <w:rPr>
          <w:rtl w:val="0"/>
        </w:rPr>
        <w:t xml:space="preserve">Checkin Week 1 Notes</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data collected from our survey app and the user data should be stored in separate tables within the SQL database. Some authentication may be involved as I imagine this working within the Ctclink ecosystem (and for the use of cookies so users don’t lose answers if they navigate away from the survey) but this will be determined later.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UI design must conform to the style of CC campus logos (use of blue and gold, trailblazer logo, etc).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Users must be given the option to opt out of answering questions, and the broader score may need to be adjusted as a result.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UI should use a breadcrumb icon for easy navigation if survey questions are presented sequentially.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may need to set up multiple resolution sizes for different devices (or use our framework's built-in tools to do this automatically if possible.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