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7519D" w14:textId="6BF29846" w:rsidR="00D16EB4" w:rsidRDefault="00936539" w:rsidP="00C54E5A">
      <w:pPr>
        <w:pStyle w:val="DataField11pt-Single"/>
        <w:jc w:val="both"/>
        <w:rPr>
          <w:rFonts w:cs="Times New Roman"/>
          <w:bCs/>
        </w:rPr>
      </w:pPr>
      <w:r w:rsidRPr="00936539">
        <w:rPr>
          <w:rFonts w:cs="Times New Roman"/>
          <w:bCs/>
        </w:rPr>
        <w:t># Fast binding free energy calculations</w:t>
      </w:r>
    </w:p>
    <w:p w14:paraId="54C89CE8" w14:textId="77777777" w:rsidR="00936539" w:rsidRDefault="00936539" w:rsidP="00C54E5A">
      <w:pPr>
        <w:pStyle w:val="DataField11pt-Single"/>
        <w:jc w:val="both"/>
        <w:rPr>
          <w:rFonts w:cs="Times New Roman"/>
          <w:bCs/>
        </w:rPr>
      </w:pPr>
    </w:p>
    <w:p w14:paraId="7095BFA7" w14:textId="347EA0EE" w:rsidR="0098325D" w:rsidRDefault="0098325D" w:rsidP="00C54E5A">
      <w:pPr>
        <w:pStyle w:val="DataField11pt-Single"/>
        <w:jc w:val="both"/>
        <w:rPr>
          <w:rFonts w:cs="Times New Roman"/>
          <w:bCs/>
        </w:rPr>
      </w:pPr>
      <w:r w:rsidRPr="00365B2A">
        <w:rPr>
          <w:rFonts w:cs="Times New Roman"/>
          <w:bCs/>
        </w:rPr>
        <w:t xml:space="preserve">Fast and accurate prediction of the binding affinity between a small molecule and biological macromolecule is a holy grail of computational chemistry; success in this endeavor would have a large impact on drug design and chemical biology. </w:t>
      </w:r>
      <w:r w:rsidRPr="0098325D">
        <w:rPr>
          <w:rFonts w:cs="Times New Roman"/>
          <w:bCs/>
        </w:rPr>
        <w:t>We derive new theories that enable computational shortcuts to rigorous binding free energy calculations. We also develop and test computer software that implements the new theory.</w:t>
      </w:r>
    </w:p>
    <w:p w14:paraId="0ECF207D" w14:textId="77777777" w:rsidR="0098325D" w:rsidRPr="00036213" w:rsidRDefault="0098325D" w:rsidP="00C54E5A">
      <w:pPr>
        <w:pStyle w:val="DataField11pt-Single"/>
        <w:jc w:val="both"/>
        <w:rPr>
          <w:rFonts w:cs="Times New Roman"/>
          <w:bCs/>
        </w:rPr>
      </w:pPr>
    </w:p>
    <w:p w14:paraId="091F3054" w14:textId="4009EF98" w:rsidR="00036213" w:rsidRDefault="00036213" w:rsidP="00C54E5A">
      <w:pPr>
        <w:pStyle w:val="DataField11pt-Single"/>
        <w:jc w:val="both"/>
        <w:rPr>
          <w:rFonts w:cs="Times New Roman"/>
          <w:bCs/>
        </w:rPr>
      </w:pPr>
      <w:r w:rsidRPr="00036213">
        <w:rPr>
          <w:rFonts w:cs="Times New Roman"/>
          <w:bCs/>
        </w:rPr>
        <w:t xml:space="preserve">## </w:t>
      </w:r>
      <w:r w:rsidR="00C54E5A" w:rsidRPr="00036213">
        <w:rPr>
          <w:rFonts w:cs="Times New Roman"/>
          <w:bCs/>
        </w:rPr>
        <w:t>Implicit ligand theory</w:t>
      </w:r>
      <w:r w:rsidR="00C54E5A" w:rsidRPr="00365B2A">
        <w:rPr>
          <w:rFonts w:cs="Times New Roman"/>
          <w:bCs/>
        </w:rPr>
        <w:t xml:space="preserve"> </w:t>
      </w:r>
    </w:p>
    <w:p w14:paraId="33F9F8E3" w14:textId="77777777" w:rsidR="00036213" w:rsidRDefault="00036213" w:rsidP="00C54E5A">
      <w:pPr>
        <w:pStyle w:val="DataField11pt-Single"/>
        <w:jc w:val="both"/>
        <w:rPr>
          <w:rFonts w:cs="Times New Roman"/>
          <w:bCs/>
        </w:rPr>
      </w:pPr>
    </w:p>
    <w:p w14:paraId="2CA20440" w14:textId="1EFB4724" w:rsidR="00C54E5A" w:rsidRDefault="00C60737" w:rsidP="00C54E5A">
      <w:pPr>
        <w:pStyle w:val="DataField11pt-Single"/>
        <w:jc w:val="both"/>
        <w:rPr>
          <w:rFonts w:cs="Times New Roman"/>
          <w:bCs/>
        </w:rPr>
      </w:pPr>
      <w:r>
        <w:rPr>
          <w:rFonts w:cs="Times New Roman"/>
          <w:bCs/>
        </w:rPr>
        <w:t xml:space="preserve">We </w:t>
      </w:r>
      <w:r w:rsidR="00C54E5A" w:rsidRPr="00365B2A">
        <w:rPr>
          <w:rFonts w:cs="Times New Roman"/>
          <w:bCs/>
        </w:rPr>
        <w:t>have developed a rigorous theoretical framework that shows the connection between fast but inaccurate molecular docking methods and accurate but slow alchemical pathway techniques</w:t>
      </w:r>
      <w:r>
        <w:rPr>
          <w:rFonts w:cs="Times New Roman"/>
          <w:bCs/>
        </w:rPr>
        <w:t xml:space="preserve"> </w:t>
      </w:r>
      <w:r>
        <w:rPr>
          <w:rFonts w:cs="Times New Roman"/>
          <w:bCs/>
        </w:rPr>
        <w:fldChar w:fldCharType="begin"/>
      </w:r>
      <w:r>
        <w:rPr>
          <w:rFonts w:cs="Times New Roman"/>
          <w:bCs/>
        </w:rPr>
        <w:instrText xml:space="preserve"> ADDIN ZOTERO_ITEM CSL_CITATION {"citationID":"2PewbuVh","properties":{"formattedCitation":"[1]\\uc0\\u8211{}[3]","plainCitation":"[1]–[3]","noteIndex":0},"citationItems":[{"id":2247,"uris":["http://zotero.org/users/5032596/items/ITM8JR8D"],"uri":["http://zotero.org/users/5032596/items/ITM8JR8D"],"itemData":{"id":2247,"type":"article-journal","abstract":"A rigorous formalism for estimating noncovalent binding free energies and thermodynamic expectations from calculations in which receptor configurations are sampled independently from the ligand is derived. Due to this separation, receptor configurations only need to be sampled once, facilitating the use of binding free energy calculations in virtual screening. Demonstrative calculations on a host-guest system yield good agreement with previous free energy calculations and isothermal titration calorimetry measurements. Implicit ligand theory provides guidance on how to improve existing molecular docking algorithms and insight into the concepts of induced fit and conformational selection in noncovalent macromolecular recognition.","container-title":"Journal of Chemical Physics","DOI":"10.1063/1.4751284","ISSN":"00219606","issue":"10","note":"PMID: 22979849\narXiv: 1208.4885\nCitation Key: Minh2012","page":"104106","title":"Implicit ligand theory: Rigorous binding free energies and thermodynamic expectations from molecular docking","volume":"137","author":[{"family":"Minh","given":"David D L"}],"issued":{"date-parts":[["2012"]]}}},{"id":2042,"uris":["http://zotero.org/users/5032596/items/K77KA3D5"],"uri":["http://zotero.org/users/5032596/items/K77KA3D5"],"itemData":{"id":2042,"type":"article-journal","container-title":"Journal of Chemical Physics","DOI":"10.1063/1.5017136","ISSN":"0021-9606","issue":"10","note":"Citation Key: Nguyen2018","page":"104114","title":"Implicit ligand theory for relative binding free energies","URL":"http://aip.scitation.org/doi/10.1063/1.5017136","volume":"148","author":[{"family":"Nguyen","given":"Trung Hai"},{"family":"Minh","given":"David D L"}],"issued":{"date-parts":[["2018"]]}}},{"id":5726,"uris":["http://zotero.org/users/5032596/items/4HWWHUQS"],"uri":["http://zotero.org/users/5032596/items/4HWWHUQS"],"itemData":{"id":5726,"type":"article-journal","container-title":"Journal of Physics Communications","DOI":"10.1088/2399-6528/abcbac","ISSN":"2399-6528","issue":"11","journalAbbreviation":"J. Phys. Commun.","language":"en","page":"115010","source":"DOI.org (Crossref)","title":"Implicit ligand theory for relative binding free energies: II. An estimator based on control variates","title-short":"Implicit ligand theory for relative binding free energies","URL":"https://iopscience.iop.org/article/10.1088/2399-6528/abcbac","volume":"4","author":[{"family":"Nguyen","given":"Trung Hai"},{"family":"Minh","given":"David D L"}],"accessed":{"date-parts":[["2020",11,27]]},"issued":{"date-parts":[["2020",11,27]]}}}],"schema":"https://github.com/citation-style-language/schema/raw/master/csl-citation.json"} </w:instrText>
      </w:r>
      <w:r>
        <w:rPr>
          <w:rFonts w:cs="Times New Roman"/>
          <w:bCs/>
        </w:rPr>
        <w:fldChar w:fldCharType="separate"/>
      </w:r>
      <w:r w:rsidRPr="00C60737">
        <w:t>[1]–[3]</w:t>
      </w:r>
      <w:r>
        <w:rPr>
          <w:rFonts w:cs="Times New Roman"/>
          <w:bCs/>
        </w:rPr>
        <w:fldChar w:fldCharType="end"/>
      </w:r>
      <w:r w:rsidR="00C54E5A" w:rsidRPr="00365B2A">
        <w:rPr>
          <w:rFonts w:cs="Times New Roman"/>
          <w:bCs/>
        </w:rPr>
        <w:t xml:space="preserve">. In principle, one </w:t>
      </w:r>
      <w:r w:rsidR="009A40D7">
        <w:rPr>
          <w:rFonts w:cs="Times New Roman"/>
          <w:bCs/>
        </w:rPr>
        <w:t>can</w:t>
      </w:r>
      <w:r w:rsidR="00C54E5A" w:rsidRPr="00365B2A">
        <w:rPr>
          <w:rFonts w:cs="Times New Roman"/>
          <w:bCs/>
        </w:rPr>
        <w:t xml:space="preserve"> “tune a knob” that adjusts the balance between accuracy and speed required for a particular application. My research group is actively developing a computer program to estimate the binding potential of mean force</w:t>
      </w:r>
      <w:r w:rsidR="00D16EB4">
        <w:rPr>
          <w:rFonts w:cs="Times New Roman"/>
          <w:bCs/>
        </w:rPr>
        <w:t xml:space="preserve"> (BPMF)</w:t>
      </w:r>
      <w:r w:rsidR="00C54E5A" w:rsidRPr="00365B2A">
        <w:rPr>
          <w:rFonts w:cs="Times New Roman"/>
          <w:bCs/>
        </w:rPr>
        <w:t xml:space="preserve">, the free energy between a flexible ligand and rigid receptor </w:t>
      </w:r>
      <w:r>
        <w:rPr>
          <w:rFonts w:cs="Times New Roman"/>
          <w:bCs/>
        </w:rPr>
        <w:fldChar w:fldCharType="begin"/>
      </w:r>
      <w:r w:rsidR="00D16EB4">
        <w:rPr>
          <w:rFonts w:cs="Times New Roman"/>
          <w:bCs/>
        </w:rPr>
        <w:instrText xml:space="preserve"> ADDIN ZOTERO_ITEM CSL_CITATION {"citationID":"92qH0qwJ","properties":{"formattedCitation":"[4], [5]","plainCitation":"[4], [5]","noteIndex":0},"citationItems":[{"id":3815,"uris":["http://zotero.org/users/5032596/items/Q6REUQRH"],"uri":["http://zotero.org/users/5032596/items/Q6REUQRH"],"itemData":{"id":3815,"type":"article-journal","container-title":"Journal of Computational Chemistry","DOI":"10.1002/jcc.26036","issue":"7","page":"715-730","title":"Alchemical Grid Dock (AlGDock): Binding Free Energy Calculations between Flexible Ligands and Rigid Receptors","volume":"41","author":[{"family":"Minh","given":"David D L"}],"issued":{"date-parts":[["2020"]]}}},{"id":2039,"uris":["http://zotero.org/users/5032596/items/WZ2E56RD"],"uri":["http://zotero.org/users/5032596/items/WZ2E56RD"],"itemData":{"id":2039,"type":"article-journal","abstract":"A common strategy for speeding up molecular docking calculations is to precompute nonbonded interaction energies between a receptor molecule and a set of three</w:instrText>
      </w:r>
      <w:r w:rsidR="00D16EB4">
        <w:rPr>
          <w:rFonts w:ascii="Cambria Math" w:hAnsi="Cambria Math" w:cs="Cambria Math"/>
          <w:bCs/>
        </w:rPr>
        <w:instrText>‐</w:instrText>
      </w:r>
      <w:r w:rsidR="00D16EB4">
        <w:rPr>
          <w:rFonts w:cs="Times New Roman"/>
          <w:bCs/>
        </w:rPr>
        <w:instrText>dimensional grids. The grids are then interpolated to compute energies for ligand atoms in many different binding poses. Here, I evaluate a smoothing strategy of taking a power transformation of grid point energies and inverse transformation of the result from trilinear interpolation. For molecular docking poses from 85 protein</w:instrText>
      </w:r>
      <w:r w:rsidR="00D16EB4">
        <w:rPr>
          <w:rFonts w:ascii="Cambria Math" w:hAnsi="Cambria Math" w:cs="Cambria Math"/>
          <w:bCs/>
        </w:rPr>
        <w:instrText>‐</w:instrText>
      </w:r>
      <w:r w:rsidR="00D16EB4">
        <w:rPr>
          <w:rFonts w:cs="Times New Roman"/>
          <w:bCs/>
        </w:rPr>
        <w:instrText xml:space="preserve">ligand complexes, this smoothing procedure leads to significant accuracy improvements, including an approximately twofold reduction in the root mean square error at a grid spacing of 0.4 Å and retaining the ability to rank docking poses even at a grid spacing of 0.7 Å. © 2018 Wiley Periodicals, Inc.","container-title":"Journal of Computational Chemistry","DOI":"10.1002/jcc.25180","ISSN":"01928651","issue":"19","note":"Citation Key: Minh2018","page":"1200-1207","title":"Power transformations improve interpolation of grids for molecular mechanics interaction energies","URL":"https://onlinelibrary.wiley.com/doi/abs/10.1002/jcc.25180","volume":"39","author":[{"family":"Minh","given":"David D L"}],"issued":{"date-parts":[["2018",7,15]]}}}],"schema":"https://github.com/citation-style-language/schema/raw/master/csl-citation.json"} </w:instrText>
      </w:r>
      <w:r>
        <w:rPr>
          <w:rFonts w:cs="Times New Roman"/>
          <w:bCs/>
        </w:rPr>
        <w:fldChar w:fldCharType="separate"/>
      </w:r>
      <w:r w:rsidR="00D16EB4">
        <w:rPr>
          <w:rFonts w:cs="Times New Roman"/>
          <w:bCs/>
          <w:noProof/>
        </w:rPr>
        <w:t>[4], [5]</w:t>
      </w:r>
      <w:r>
        <w:rPr>
          <w:rFonts w:cs="Times New Roman"/>
          <w:bCs/>
        </w:rPr>
        <w:fldChar w:fldCharType="end"/>
      </w:r>
      <w:r w:rsidR="00C54E5A" w:rsidRPr="00365B2A">
        <w:rPr>
          <w:rFonts w:cs="Times New Roman"/>
          <w:bCs/>
        </w:rPr>
        <w:t xml:space="preserve">. </w:t>
      </w:r>
      <w:r w:rsidR="00D16EB4">
        <w:rPr>
          <w:rFonts w:cs="Times New Roman"/>
          <w:bCs/>
        </w:rPr>
        <w:t>W</w:t>
      </w:r>
      <w:r w:rsidR="00D16EB4" w:rsidRPr="00365B2A">
        <w:rPr>
          <w:rFonts w:cs="Times New Roman"/>
          <w:bCs/>
        </w:rPr>
        <w:t xml:space="preserve">e have </w:t>
      </w:r>
      <w:r w:rsidR="00D16EB4">
        <w:rPr>
          <w:rFonts w:cs="Times New Roman"/>
          <w:bCs/>
        </w:rPr>
        <w:t xml:space="preserve">also </w:t>
      </w:r>
      <w:r w:rsidR="00D16EB4" w:rsidRPr="00365B2A">
        <w:rPr>
          <w:rFonts w:cs="Times New Roman"/>
          <w:bCs/>
        </w:rPr>
        <w:t>shown that based on implicit ligand theory, the fast Fourier transform can be used to estimate protein-ligand binding free energies</w:t>
      </w:r>
      <w:r w:rsidR="00D16EB4">
        <w:rPr>
          <w:rFonts w:cs="Times New Roman"/>
          <w:bCs/>
        </w:rPr>
        <w:t xml:space="preserve"> </w:t>
      </w:r>
      <w:r w:rsidR="00D16EB4">
        <w:rPr>
          <w:rFonts w:cs="Times New Roman"/>
          <w:bCs/>
        </w:rPr>
        <w:fldChar w:fldCharType="begin"/>
      </w:r>
      <w:r w:rsidR="00D16EB4">
        <w:rPr>
          <w:rFonts w:cs="Times New Roman"/>
          <w:bCs/>
        </w:rPr>
        <w:instrText xml:space="preserve"> ADDIN ZOTERO_ITEM CSL_CITATION {"citationID":"Kacpx1OX","properties":{"formattedCitation":"[6]","plainCitation":"[6]","noteIndex":0},"citationItems":[{"id":2326,"uris":["http://zotero.org/users/5032596/items/2B8AWIGA"],"uri":["http://zotero.org/users/5032596/items/2B8AWIGA"],"itemData":{"id":2326,"type":"article-journal","container-title":"Journal of Computational Chemistry","DOI":"10.1002/jcc.25139","ISSN":"01928651","note":"arXiv: 1708.07045\nCitation Key: Nguyen2018a","page":"621-636","title":"Using the Fast Fourier Transform in Binding Free Energy Calculations","URL":"http://doi.wiley.com/10.1002/jcc.25139","volume":"39","author":[{"family":"Nguyen","given":"Trung Hai"},{"family":"Zhou","given":"Huan-Xiang"},{"family":"Minh","given":"David D L"}],"issued":{"date-parts":[["2018"]]}}}],"schema":"https://github.com/citation-style-language/schema/raw/master/csl-citation.json"} </w:instrText>
      </w:r>
      <w:r w:rsidR="00D16EB4">
        <w:rPr>
          <w:rFonts w:cs="Times New Roman"/>
          <w:bCs/>
        </w:rPr>
        <w:fldChar w:fldCharType="separate"/>
      </w:r>
      <w:r w:rsidR="00D16EB4">
        <w:rPr>
          <w:rFonts w:cs="Times New Roman"/>
          <w:bCs/>
          <w:noProof/>
        </w:rPr>
        <w:t>[6]</w:t>
      </w:r>
      <w:r w:rsidR="00D16EB4">
        <w:rPr>
          <w:rFonts w:cs="Times New Roman"/>
          <w:bCs/>
        </w:rPr>
        <w:fldChar w:fldCharType="end"/>
      </w:r>
      <w:r w:rsidR="00D16EB4" w:rsidRPr="00365B2A">
        <w:rPr>
          <w:rFonts w:cs="Times New Roman"/>
          <w:bCs/>
        </w:rPr>
        <w:t>.</w:t>
      </w:r>
      <w:r w:rsidR="00D16EB4">
        <w:rPr>
          <w:rFonts w:cs="Times New Roman"/>
          <w:bCs/>
        </w:rPr>
        <w:t xml:space="preserve"> </w:t>
      </w:r>
      <w:r w:rsidR="00C54E5A" w:rsidRPr="00365B2A">
        <w:rPr>
          <w:rFonts w:cs="Times New Roman"/>
          <w:bCs/>
        </w:rPr>
        <w:t xml:space="preserve">We are presently able to recapitulate more expensive calculations on a simple system (T4 lysozyme) with a correlation coefficient around 0.9 </w:t>
      </w:r>
      <w:r>
        <w:rPr>
          <w:rFonts w:cs="Times New Roman"/>
          <w:bCs/>
        </w:rPr>
        <w:fldChar w:fldCharType="begin"/>
      </w:r>
      <w:r w:rsidR="00D16EB4">
        <w:rPr>
          <w:rFonts w:cs="Times New Roman"/>
          <w:bCs/>
        </w:rPr>
        <w:instrText xml:space="preserve"> ADDIN ZOTERO_ITEM CSL_CITATION {"citationID":"QHlJHtVB","properties":{"formattedCitation":"[7]","plainCitation":"[7]","noteIndex":0},"citationItems":[{"id":2224,"uris":["http://zotero.org/users/5032596/items/VVYN6TJF"],"uri":["http://zotero.org/users/5032596/items/VVYN6TJF"],"itemData":{"id":2224,"type":"article-journal","abstract":"We demonstrate the feasibility of estimating protein−ligand binding free energies using multiple rigid receptor configurations. On the basis of T4 lysozyme snapshots extracted from six alchemical binding free energy calculations with a flexible receptor, binding free energies were estimated for a total of 141 ligands. For 24 ligands, the calculations reproduced flexible-receptor estimates with a correlation coefficient of 0.90 and a root-mean-square error of 1.59 kcal/mol. The accuracy of calculations based on Poisson−Boltzmann/surface area implicit solvent was com-parable to that of previously reported free energy calculations.","container-title":"Journal of Chemical Theory and Computation","DOI":"10.1021/acs.jctc.6b01183","ISSN":"1549-9618","issue":"6","note":"Citation Key: Xie2017","page":"2930-2944","title":"Absolute Binding Free Energies between T4 Lysozyme and 141 Small Molecules: Calculations Based on Multiple Rigid Receptor Configurations","URL":"http://pubs.acs.org/doi/abs/10.1021/acs.jctc.6b01183","volume":"13","author":[{"family":"Xie","given":"Bing"},{"family":"Nguyen","given":"Trung Hai"},{"family":"Minh","given":"David D L"}],"issued":{"date-parts":[["2017"]]}}}],"schema":"https://github.com/citation-style-language/schema/raw/master/csl-citation.json"} </w:instrText>
      </w:r>
      <w:r>
        <w:rPr>
          <w:rFonts w:cs="Times New Roman"/>
          <w:bCs/>
        </w:rPr>
        <w:fldChar w:fldCharType="separate"/>
      </w:r>
      <w:r w:rsidR="00D16EB4">
        <w:rPr>
          <w:rFonts w:cs="Times New Roman"/>
          <w:bCs/>
          <w:noProof/>
        </w:rPr>
        <w:t>[7]</w:t>
      </w:r>
      <w:r>
        <w:rPr>
          <w:rFonts w:cs="Times New Roman"/>
          <w:bCs/>
        </w:rPr>
        <w:fldChar w:fldCharType="end"/>
      </w:r>
      <w:r w:rsidR="00C54E5A" w:rsidRPr="00365B2A">
        <w:rPr>
          <w:rFonts w:cs="Times New Roman"/>
          <w:bCs/>
        </w:rPr>
        <w:t xml:space="preserve">. </w:t>
      </w:r>
      <w:r w:rsidR="00D16EB4">
        <w:rPr>
          <w:rFonts w:cs="Times New Roman"/>
          <w:bCs/>
        </w:rPr>
        <w:t xml:space="preserve">In the Drug Design Data Resource (D3R) Grand Challenge 3, our workflow led to some of the submissions with the highest correlation to experimental for </w:t>
      </w:r>
      <w:r w:rsidR="00D16EB4" w:rsidRPr="00D16EB4">
        <w:rPr>
          <w:rFonts w:cs="Times New Roman"/>
          <w:bCs/>
        </w:rPr>
        <w:t>vascular endothelial growth factor receptor 2</w:t>
      </w:r>
      <w:r w:rsidR="00D16EB4">
        <w:rPr>
          <w:rFonts w:cs="Times New Roman"/>
          <w:bCs/>
        </w:rPr>
        <w:t xml:space="preserve"> </w:t>
      </w:r>
      <w:r w:rsidR="00D16EB4">
        <w:rPr>
          <w:rFonts w:cs="Times New Roman"/>
          <w:bCs/>
        </w:rPr>
        <w:fldChar w:fldCharType="begin"/>
      </w:r>
      <w:r w:rsidR="00D16EB4">
        <w:rPr>
          <w:rFonts w:cs="Times New Roman"/>
          <w:bCs/>
        </w:rPr>
        <w:instrText xml:space="preserve"> ADDIN ZOTERO_ITEM CSL_CITATION {"citationID":"oa8AtlLa","properties":{"formattedCitation":"[8]","plainCitation":"[8]","noteIndex":0},"citationItems":[{"id":2394,"uris":["http://zotero.org/users/5032596/items/7UVSC9VS"],"uri":["http://zotero.org/users/5032596/items/7UVSC9VS"],"itemData":{"id":2394,"type":"article-journal","container-title":"Journal of Computer-Aided Molecular Design","DOI":"10.1007/s10822-018-0143-9","issue":"1","page":"61-69","title":"Alchemical Grid Dock (AlGDock) calculations in the D3R Grand Challenge 3","volume":"33","author":[{"family":"Xie","given":"Bing"},{"family":"Minh","given":"David D L"}],"issued":{"date-parts":[["2019"]]}}}],"schema":"https://github.com/citation-style-language/schema/raw/master/csl-citation.json"} </w:instrText>
      </w:r>
      <w:r w:rsidR="00D16EB4">
        <w:rPr>
          <w:rFonts w:cs="Times New Roman"/>
          <w:bCs/>
        </w:rPr>
        <w:fldChar w:fldCharType="separate"/>
      </w:r>
      <w:r w:rsidR="00D16EB4">
        <w:rPr>
          <w:rFonts w:cs="Times New Roman"/>
          <w:bCs/>
          <w:noProof/>
        </w:rPr>
        <w:t>[8]</w:t>
      </w:r>
      <w:r w:rsidR="00D16EB4">
        <w:rPr>
          <w:rFonts w:cs="Times New Roman"/>
          <w:bCs/>
        </w:rPr>
        <w:fldChar w:fldCharType="end"/>
      </w:r>
      <w:r w:rsidR="00D16EB4">
        <w:rPr>
          <w:rFonts w:cs="Times New Roman"/>
          <w:bCs/>
        </w:rPr>
        <w:t>. Finally, we have identified a statistical metric to evaluate clustering methods used select snapshots for molecular docking or BPMF calculations.</w:t>
      </w:r>
    </w:p>
    <w:p w14:paraId="75A2E30D" w14:textId="04ED595F" w:rsidR="00D16EB4" w:rsidRDefault="00D16EB4" w:rsidP="00C54E5A">
      <w:pPr>
        <w:pStyle w:val="DataField11pt-Single"/>
        <w:jc w:val="both"/>
        <w:rPr>
          <w:rFonts w:cs="Times New Roman"/>
          <w:bCs/>
        </w:rPr>
      </w:pPr>
    </w:p>
    <w:p w14:paraId="208A3781" w14:textId="2F02CA5B" w:rsidR="00D16EB4" w:rsidRDefault="00D16EB4" w:rsidP="00C54E5A">
      <w:pPr>
        <w:pStyle w:val="DataField11pt-Single"/>
        <w:jc w:val="both"/>
        <w:rPr>
          <w:rFonts w:cs="Times New Roman"/>
          <w:bCs/>
        </w:rPr>
      </w:pPr>
      <w:r>
        <w:rPr>
          <w:rFonts w:cs="Times New Roman"/>
          <w:bCs/>
        </w:rPr>
        <w:t>## End point methods</w:t>
      </w:r>
    </w:p>
    <w:p w14:paraId="1919C221" w14:textId="0C3920E4" w:rsidR="00D16EB4" w:rsidRDefault="00D16EB4" w:rsidP="00C54E5A">
      <w:pPr>
        <w:pStyle w:val="DataField11pt-Single"/>
        <w:jc w:val="both"/>
        <w:rPr>
          <w:rFonts w:cs="Times New Roman"/>
          <w:bCs/>
        </w:rPr>
      </w:pPr>
    </w:p>
    <w:p w14:paraId="06AF8773" w14:textId="23172B46" w:rsidR="00D16EB4" w:rsidRDefault="00D16EB4" w:rsidP="00C54E5A">
      <w:pPr>
        <w:pStyle w:val="DataField11pt-Single"/>
        <w:jc w:val="both"/>
        <w:rPr>
          <w:rFonts w:cs="Times New Roman"/>
          <w:bCs/>
        </w:rPr>
      </w:pPr>
      <w:r>
        <w:rPr>
          <w:rFonts w:cs="Times New Roman"/>
          <w:bCs/>
        </w:rPr>
        <w:t xml:space="preserve">We have also been developing end-point binding free energy methods, which are based on molecular simulations of bound complexes (and sometimes unbound species). </w:t>
      </w:r>
      <w:r w:rsidR="0098325D">
        <w:rPr>
          <w:rFonts w:cs="Times New Roman"/>
          <w:bCs/>
        </w:rPr>
        <w:t xml:space="preserve">We have provided a derivation of the popular Molecular Mechanics/Poisson-Boltzmann Surface Area method and showed how entropy may be estimated based on a cumulant expansion </w:t>
      </w:r>
      <w:r w:rsidR="0098325D">
        <w:rPr>
          <w:rFonts w:cs="Times New Roman"/>
          <w:bCs/>
        </w:rPr>
        <w:fldChar w:fldCharType="begin"/>
      </w:r>
      <w:r w:rsidR="0098325D">
        <w:rPr>
          <w:rFonts w:cs="Times New Roman"/>
          <w:bCs/>
        </w:rPr>
        <w:instrText xml:space="preserve"> ADDIN ZOTERO_ITEM CSL_CITATION {"citationID":"1g8rJ0Fo","properties":{"formattedCitation":"[9]","plainCitation":"[9]","noteIndex":0},"citationItems":[{"id":2395,"uris":["http://zotero.org/users/5032596/items/Q9NFYGXS"],"uri":["http://zotero.org/users/5032596/items/Q9NFYGXS"],"itemData":{"id":2395,"type":"article-journal","container-title":"Journal of Chemical Theory and Computation","DOI":"10.1021/acs.jctc.8b00418","page":"6035-6049","title":"Simple Entropy Terms for End-Point Binding Free Energy Calculations","volume":"14","author":[{"family":"Menzer","given":"William"},{"family":"Li","given":"Chen"},{"family":"Sun","given":"Wenji"},{"family":"Xie","given":"Bing"},{"family":"Minh","given":"David D L"}],"issued":{"date-parts":[["2018"]]}}}],"schema":"https://github.com/citation-style-language/schema/raw/master/csl-citation.json"} </w:instrText>
      </w:r>
      <w:r w:rsidR="0098325D">
        <w:rPr>
          <w:rFonts w:cs="Times New Roman"/>
          <w:bCs/>
        </w:rPr>
        <w:fldChar w:fldCharType="separate"/>
      </w:r>
      <w:r w:rsidR="0098325D">
        <w:rPr>
          <w:rFonts w:cs="Times New Roman"/>
          <w:bCs/>
          <w:noProof/>
        </w:rPr>
        <w:t>[9]</w:t>
      </w:r>
      <w:r w:rsidR="0098325D">
        <w:rPr>
          <w:rFonts w:cs="Times New Roman"/>
          <w:bCs/>
        </w:rPr>
        <w:fldChar w:fldCharType="end"/>
      </w:r>
      <w:r w:rsidR="0098325D">
        <w:rPr>
          <w:rFonts w:cs="Times New Roman"/>
          <w:bCs/>
        </w:rPr>
        <w:t xml:space="preserve">. We have also evaluated the effects of harmonic restraints in end-point binding free energy calculations </w:t>
      </w:r>
      <w:r w:rsidR="0098325D">
        <w:rPr>
          <w:rFonts w:cs="Times New Roman"/>
          <w:bCs/>
        </w:rPr>
        <w:fldChar w:fldCharType="begin"/>
      </w:r>
      <w:r w:rsidR="0098325D">
        <w:rPr>
          <w:rFonts w:cs="Times New Roman"/>
          <w:bCs/>
        </w:rPr>
        <w:instrText xml:space="preserve"> ADDIN ZOTERO_ITEM CSL_CITATION {"citationID":"MS8tVA0D","properties":{"formattedCitation":"[10]","plainCitation":"[10]","noteIndex":0},"citationItems":[{"id":3816,"uris":["http://zotero.org/users/5032596/items/DXNJ3E9X"],"uri":["http://zotero.org/users/5032596/items/DXNJ3E9X"],"itemData":{"id":3816,"type":"article-journal","container-title":"Journal of Computational Chemistry","DOI":"10.1002/jcc.26119","issue":"6","page":"573-586","title":"On Restraints in End-Point Protein-Ligand Binding Free Energy Calculations","volume":"41","author":[{"family":"Menzer","given":"William M"},{"family":"Xie","given":"Bing"},{"family":"Minh","given":"David D L"}],"issued":{"date-parts":[["2020"]]}}}],"schema":"https://github.com/citation-style-language/schema/raw/master/csl-citation.json"} </w:instrText>
      </w:r>
      <w:r w:rsidR="0098325D">
        <w:rPr>
          <w:rFonts w:cs="Times New Roman"/>
          <w:bCs/>
        </w:rPr>
        <w:fldChar w:fldCharType="separate"/>
      </w:r>
      <w:r w:rsidR="0098325D">
        <w:rPr>
          <w:rFonts w:cs="Times New Roman"/>
          <w:bCs/>
          <w:noProof/>
        </w:rPr>
        <w:t>[10]</w:t>
      </w:r>
      <w:r w:rsidR="0098325D">
        <w:rPr>
          <w:rFonts w:cs="Times New Roman"/>
          <w:bCs/>
        </w:rPr>
        <w:fldChar w:fldCharType="end"/>
      </w:r>
      <w:r w:rsidR="0098325D">
        <w:rPr>
          <w:rFonts w:cs="Times New Roman"/>
          <w:bCs/>
        </w:rPr>
        <w:t>.</w:t>
      </w:r>
    </w:p>
    <w:p w14:paraId="4AE3DB85" w14:textId="226954E9" w:rsidR="0026191A" w:rsidRDefault="0026191A" w:rsidP="00C54E5A">
      <w:pPr>
        <w:pStyle w:val="DataField11pt-Single"/>
        <w:jc w:val="both"/>
        <w:rPr>
          <w:rFonts w:cs="Times New Roman"/>
          <w:bCs/>
        </w:rPr>
      </w:pPr>
    </w:p>
    <w:p w14:paraId="3DEB2F15" w14:textId="0C8C514A" w:rsidR="0026191A" w:rsidRDefault="0026191A" w:rsidP="00C54E5A">
      <w:pPr>
        <w:pStyle w:val="DataField11pt-Single"/>
        <w:jc w:val="both"/>
        <w:rPr>
          <w:rFonts w:cs="Times New Roman"/>
          <w:bCs/>
        </w:rPr>
      </w:pPr>
      <w:r w:rsidRPr="0026191A">
        <w:rPr>
          <w:rFonts w:cs="Times New Roman"/>
          <w:bCs/>
        </w:rPr>
        <w:t>## Related references</w:t>
      </w:r>
    </w:p>
    <w:p w14:paraId="426C0341" w14:textId="44C5B592" w:rsidR="00C60737" w:rsidRDefault="00C60737" w:rsidP="00C54E5A">
      <w:pPr>
        <w:pStyle w:val="DataField11pt-Single"/>
        <w:jc w:val="both"/>
        <w:rPr>
          <w:rFonts w:cs="Times New Roman"/>
          <w:bCs/>
        </w:rPr>
      </w:pPr>
    </w:p>
    <w:p w14:paraId="761410E9" w14:textId="77777777" w:rsidR="0098325D" w:rsidRPr="0098325D" w:rsidRDefault="00C60737" w:rsidP="0098325D">
      <w:pPr>
        <w:pStyle w:val="Bibliography"/>
        <w:rPr>
          <w:rFonts w:cs="Arial"/>
        </w:rPr>
      </w:pPr>
      <w:r>
        <w:rPr>
          <w:bCs/>
          <w:u w:val="single"/>
        </w:rPr>
        <w:fldChar w:fldCharType="begin"/>
      </w:r>
      <w:r>
        <w:rPr>
          <w:bCs/>
          <w:u w:val="single"/>
        </w:rPr>
        <w:instrText xml:space="preserve"> ADDIN ZOTERO_BIBL {"uncited":[],"omitted":[],"custom":[]} CSL_BIBLIOGRAPHY </w:instrText>
      </w:r>
      <w:r>
        <w:rPr>
          <w:bCs/>
          <w:u w:val="single"/>
        </w:rPr>
        <w:fldChar w:fldCharType="separate"/>
      </w:r>
      <w:r w:rsidR="0098325D" w:rsidRPr="0098325D">
        <w:rPr>
          <w:rFonts w:cs="Arial"/>
        </w:rPr>
        <w:t>[1]</w:t>
      </w:r>
      <w:r w:rsidR="0098325D" w:rsidRPr="0098325D">
        <w:rPr>
          <w:rFonts w:cs="Arial"/>
        </w:rPr>
        <w:tab/>
        <w:t xml:space="preserve">D. D. L. Minh, “Implicit ligand theory: Rigorous binding free energies and thermodynamic expectations from molecular docking,” </w:t>
      </w:r>
      <w:r w:rsidR="0098325D" w:rsidRPr="0098325D">
        <w:rPr>
          <w:rFonts w:cs="Arial"/>
          <w:i/>
          <w:iCs/>
        </w:rPr>
        <w:t>Journal of Chemical Physics</w:t>
      </w:r>
      <w:r w:rsidR="0098325D" w:rsidRPr="0098325D">
        <w:rPr>
          <w:rFonts w:cs="Arial"/>
        </w:rPr>
        <w:t>, vol. 137, no. 10, p. 104106, 2012, doi: 10.1063/1.4751284.</w:t>
      </w:r>
    </w:p>
    <w:p w14:paraId="7AD9A471" w14:textId="77777777" w:rsidR="0098325D" w:rsidRPr="0098325D" w:rsidRDefault="0098325D" w:rsidP="0098325D">
      <w:pPr>
        <w:pStyle w:val="Bibliography"/>
        <w:rPr>
          <w:rFonts w:cs="Arial"/>
        </w:rPr>
      </w:pPr>
      <w:r w:rsidRPr="0098325D">
        <w:rPr>
          <w:rFonts w:cs="Arial"/>
        </w:rPr>
        <w:t>[2]</w:t>
      </w:r>
      <w:r w:rsidRPr="0098325D">
        <w:rPr>
          <w:rFonts w:cs="Arial"/>
        </w:rPr>
        <w:tab/>
        <w:t xml:space="preserve">T. H. Nguyen and D. D. L. Minh, “Implicit ligand theory for relative binding free energies,” </w:t>
      </w:r>
      <w:r w:rsidRPr="0098325D">
        <w:rPr>
          <w:rFonts w:cs="Arial"/>
          <w:i/>
          <w:iCs/>
        </w:rPr>
        <w:t>Journal of Chemical Physics</w:t>
      </w:r>
      <w:r w:rsidRPr="0098325D">
        <w:rPr>
          <w:rFonts w:cs="Arial"/>
        </w:rPr>
        <w:t>, vol. 148, no. 10, p. 104114, 2018, doi: 10.1063/1.5017136.</w:t>
      </w:r>
    </w:p>
    <w:p w14:paraId="0A866F2D" w14:textId="77777777" w:rsidR="0098325D" w:rsidRPr="0098325D" w:rsidRDefault="0098325D" w:rsidP="0098325D">
      <w:pPr>
        <w:pStyle w:val="Bibliography"/>
        <w:rPr>
          <w:rFonts w:cs="Arial"/>
        </w:rPr>
      </w:pPr>
      <w:r w:rsidRPr="0098325D">
        <w:rPr>
          <w:rFonts w:cs="Arial"/>
        </w:rPr>
        <w:t>[3]</w:t>
      </w:r>
      <w:r w:rsidRPr="0098325D">
        <w:rPr>
          <w:rFonts w:cs="Arial"/>
        </w:rPr>
        <w:tab/>
        <w:t xml:space="preserve">T. H. Nguyen and D. D. L. Minh, “Implicit ligand theory for relative binding free energies: II. An estimator based on control variates,” </w:t>
      </w:r>
      <w:r w:rsidRPr="0098325D">
        <w:rPr>
          <w:rFonts w:cs="Arial"/>
          <w:i/>
          <w:iCs/>
        </w:rPr>
        <w:t>J. Phys. Commun.</w:t>
      </w:r>
      <w:r w:rsidRPr="0098325D">
        <w:rPr>
          <w:rFonts w:cs="Arial"/>
        </w:rPr>
        <w:t>, vol. 4, no. 11, p. 115010, Nov. 2020, doi: 10.1088/2399-6528/abcbac.</w:t>
      </w:r>
    </w:p>
    <w:p w14:paraId="6263C905" w14:textId="77777777" w:rsidR="0098325D" w:rsidRPr="0098325D" w:rsidRDefault="0098325D" w:rsidP="0098325D">
      <w:pPr>
        <w:pStyle w:val="Bibliography"/>
        <w:rPr>
          <w:rFonts w:cs="Arial"/>
        </w:rPr>
      </w:pPr>
      <w:r w:rsidRPr="0098325D">
        <w:rPr>
          <w:rFonts w:cs="Arial"/>
        </w:rPr>
        <w:t>[4]</w:t>
      </w:r>
      <w:r w:rsidRPr="0098325D">
        <w:rPr>
          <w:rFonts w:cs="Arial"/>
        </w:rPr>
        <w:tab/>
        <w:t xml:space="preserve">D. D. L. Minh, “Alchemical Grid Dock (AlGDock): Binding Free Energy Calculations between Flexible Ligands and Rigid Receptors,” </w:t>
      </w:r>
      <w:r w:rsidRPr="0098325D">
        <w:rPr>
          <w:rFonts w:cs="Arial"/>
          <w:i/>
          <w:iCs/>
        </w:rPr>
        <w:t>Journal of Computational Chemistry</w:t>
      </w:r>
      <w:r w:rsidRPr="0098325D">
        <w:rPr>
          <w:rFonts w:cs="Arial"/>
        </w:rPr>
        <w:t>, vol. 41, no. 7, pp. 715–730, 2020, doi: 10.1002/jcc.26036.</w:t>
      </w:r>
    </w:p>
    <w:p w14:paraId="29239D15" w14:textId="77777777" w:rsidR="0098325D" w:rsidRPr="0098325D" w:rsidRDefault="0098325D" w:rsidP="0098325D">
      <w:pPr>
        <w:pStyle w:val="Bibliography"/>
        <w:rPr>
          <w:rFonts w:cs="Arial"/>
        </w:rPr>
      </w:pPr>
      <w:r w:rsidRPr="0098325D">
        <w:rPr>
          <w:rFonts w:cs="Arial"/>
        </w:rPr>
        <w:t>[5]</w:t>
      </w:r>
      <w:r w:rsidRPr="0098325D">
        <w:rPr>
          <w:rFonts w:cs="Arial"/>
        </w:rPr>
        <w:tab/>
        <w:t xml:space="preserve">D. D. L. Minh, “Power transformations improve interpolation of grids for molecular mechanics interaction energies,” </w:t>
      </w:r>
      <w:r w:rsidRPr="0098325D">
        <w:rPr>
          <w:rFonts w:cs="Arial"/>
          <w:i/>
          <w:iCs/>
        </w:rPr>
        <w:t>Journal of Computational Chemistry</w:t>
      </w:r>
      <w:r w:rsidRPr="0098325D">
        <w:rPr>
          <w:rFonts w:cs="Arial"/>
        </w:rPr>
        <w:t>, vol. 39, no. 19, pp. 1200–1207, Jul. 2018, doi: 10.1002/jcc.25180.</w:t>
      </w:r>
    </w:p>
    <w:p w14:paraId="564E076B" w14:textId="77777777" w:rsidR="0098325D" w:rsidRPr="0098325D" w:rsidRDefault="0098325D" w:rsidP="0098325D">
      <w:pPr>
        <w:pStyle w:val="Bibliography"/>
        <w:rPr>
          <w:rFonts w:cs="Arial"/>
        </w:rPr>
      </w:pPr>
      <w:r w:rsidRPr="0098325D">
        <w:rPr>
          <w:rFonts w:cs="Arial"/>
        </w:rPr>
        <w:t>[6]</w:t>
      </w:r>
      <w:r w:rsidRPr="0098325D">
        <w:rPr>
          <w:rFonts w:cs="Arial"/>
        </w:rPr>
        <w:tab/>
        <w:t xml:space="preserve">T. H. Nguyen, H.-X. Zhou, and D. D. L. Minh, “Using the Fast Fourier Transform in Binding Free Energy Calculations,” </w:t>
      </w:r>
      <w:r w:rsidRPr="0098325D">
        <w:rPr>
          <w:rFonts w:cs="Arial"/>
          <w:i/>
          <w:iCs/>
        </w:rPr>
        <w:t>Journal of Computational Chemistry</w:t>
      </w:r>
      <w:r w:rsidRPr="0098325D">
        <w:rPr>
          <w:rFonts w:cs="Arial"/>
        </w:rPr>
        <w:t>, vol. 39, pp. 621–636, 2018, doi: 10.1002/jcc.25139.</w:t>
      </w:r>
    </w:p>
    <w:p w14:paraId="0A7F7714" w14:textId="77777777" w:rsidR="0098325D" w:rsidRPr="0098325D" w:rsidRDefault="0098325D" w:rsidP="0098325D">
      <w:pPr>
        <w:pStyle w:val="Bibliography"/>
        <w:rPr>
          <w:rFonts w:cs="Arial"/>
        </w:rPr>
      </w:pPr>
      <w:r w:rsidRPr="0098325D">
        <w:rPr>
          <w:rFonts w:cs="Arial"/>
        </w:rPr>
        <w:t>[7]</w:t>
      </w:r>
      <w:r w:rsidRPr="0098325D">
        <w:rPr>
          <w:rFonts w:cs="Arial"/>
        </w:rPr>
        <w:tab/>
        <w:t xml:space="preserve">B. Xie, T. H. Nguyen, and D. D. L. Minh, “Absolute Binding Free Energies between T4 Lysozyme and 141 Small Molecules: Calculations Based on Multiple Rigid Receptor Configurations,” </w:t>
      </w:r>
      <w:r w:rsidRPr="0098325D">
        <w:rPr>
          <w:rFonts w:cs="Arial"/>
          <w:i/>
          <w:iCs/>
        </w:rPr>
        <w:t>Journal of Chemical Theory and Computation</w:t>
      </w:r>
      <w:r w:rsidRPr="0098325D">
        <w:rPr>
          <w:rFonts w:cs="Arial"/>
        </w:rPr>
        <w:t>, vol. 13, no. 6, pp. 2930–2944, 2017, doi: 10.1021/acs.jctc.6b01183.</w:t>
      </w:r>
    </w:p>
    <w:p w14:paraId="5708009F" w14:textId="77777777" w:rsidR="0098325D" w:rsidRPr="0098325D" w:rsidRDefault="0098325D" w:rsidP="0098325D">
      <w:pPr>
        <w:pStyle w:val="Bibliography"/>
        <w:rPr>
          <w:rFonts w:cs="Arial"/>
        </w:rPr>
      </w:pPr>
      <w:r w:rsidRPr="0098325D">
        <w:rPr>
          <w:rFonts w:cs="Arial"/>
        </w:rPr>
        <w:t>[8]</w:t>
      </w:r>
      <w:r w:rsidRPr="0098325D">
        <w:rPr>
          <w:rFonts w:cs="Arial"/>
        </w:rPr>
        <w:tab/>
        <w:t xml:space="preserve">B. Xie and D. D. L. Minh, “Alchemical Grid Dock (AlGDock) calculations in the D3R Grand Challenge 3,” </w:t>
      </w:r>
      <w:r w:rsidRPr="0098325D">
        <w:rPr>
          <w:rFonts w:cs="Arial"/>
          <w:i/>
          <w:iCs/>
        </w:rPr>
        <w:t>Journal of Computer-Aided Molecular Design</w:t>
      </w:r>
      <w:r w:rsidRPr="0098325D">
        <w:rPr>
          <w:rFonts w:cs="Arial"/>
        </w:rPr>
        <w:t>, vol. 33, no. 1, pp. 61–69, 2019, doi: 10.1007/s10822-018-0143-9.</w:t>
      </w:r>
    </w:p>
    <w:p w14:paraId="690CC31A" w14:textId="77777777" w:rsidR="0098325D" w:rsidRPr="0098325D" w:rsidRDefault="0098325D" w:rsidP="0098325D">
      <w:pPr>
        <w:pStyle w:val="Bibliography"/>
        <w:rPr>
          <w:rFonts w:cs="Arial"/>
        </w:rPr>
      </w:pPr>
      <w:r w:rsidRPr="0098325D">
        <w:rPr>
          <w:rFonts w:cs="Arial"/>
        </w:rPr>
        <w:t>[9]</w:t>
      </w:r>
      <w:r w:rsidRPr="0098325D">
        <w:rPr>
          <w:rFonts w:cs="Arial"/>
        </w:rPr>
        <w:tab/>
        <w:t xml:space="preserve">W. Menzer, C. Li, W. Sun, B. Xie, and D. D. L. Minh, “Simple Entropy Terms for End-Point Binding Free Energy Calculations,” </w:t>
      </w:r>
      <w:r w:rsidRPr="0098325D">
        <w:rPr>
          <w:rFonts w:cs="Arial"/>
          <w:i/>
          <w:iCs/>
        </w:rPr>
        <w:t>Journal of Chemical Theory and Computation</w:t>
      </w:r>
      <w:r w:rsidRPr="0098325D">
        <w:rPr>
          <w:rFonts w:cs="Arial"/>
        </w:rPr>
        <w:t>, vol. 14, pp. 6035–6049, 2018, doi: 10.1021/acs.jctc.8b00418.</w:t>
      </w:r>
    </w:p>
    <w:p w14:paraId="29A5B981" w14:textId="77777777" w:rsidR="0098325D" w:rsidRPr="0098325D" w:rsidRDefault="0098325D" w:rsidP="0098325D">
      <w:pPr>
        <w:pStyle w:val="Bibliography"/>
        <w:rPr>
          <w:rFonts w:cs="Arial"/>
        </w:rPr>
      </w:pPr>
      <w:r w:rsidRPr="0098325D">
        <w:rPr>
          <w:rFonts w:cs="Arial"/>
        </w:rPr>
        <w:lastRenderedPageBreak/>
        <w:t>[10]</w:t>
      </w:r>
      <w:r w:rsidRPr="0098325D">
        <w:rPr>
          <w:rFonts w:cs="Arial"/>
        </w:rPr>
        <w:tab/>
        <w:t xml:space="preserve">W. M. Menzer, B. Xie, and D. D. L. Minh, “On Restraints in End-Point Protein-Ligand Binding Free Energy Calculations,” </w:t>
      </w:r>
      <w:r w:rsidRPr="0098325D">
        <w:rPr>
          <w:rFonts w:cs="Arial"/>
          <w:i/>
          <w:iCs/>
        </w:rPr>
        <w:t>Journal of Computational Chemistry</w:t>
      </w:r>
      <w:r w:rsidRPr="0098325D">
        <w:rPr>
          <w:rFonts w:cs="Arial"/>
        </w:rPr>
        <w:t>, vol. 41, no. 6, pp. 573–586, 2020, doi: 10.1002/jcc.26119.</w:t>
      </w:r>
    </w:p>
    <w:p w14:paraId="3819700E" w14:textId="7F1FCDF7" w:rsidR="00C54E5A" w:rsidRPr="009F382A" w:rsidRDefault="00C60737" w:rsidP="00C60737">
      <w:pPr>
        <w:pStyle w:val="DataField11pt-Single"/>
        <w:jc w:val="both"/>
        <w:rPr>
          <w:rFonts w:cs="Times New Roman"/>
          <w:bCs/>
        </w:rPr>
      </w:pPr>
      <w:r>
        <w:rPr>
          <w:rFonts w:cs="Times New Roman"/>
          <w:bCs/>
          <w:u w:val="single"/>
        </w:rPr>
        <w:fldChar w:fldCharType="end"/>
      </w:r>
    </w:p>
    <w:p w14:paraId="0F3BAE26" w14:textId="77777777" w:rsidR="006F29D9" w:rsidRPr="00E03323" w:rsidRDefault="006F29D9" w:rsidP="004A7B5B">
      <w:pPr>
        <w:pStyle w:val="DataField11pt-Single"/>
        <w:jc w:val="both"/>
        <w:rPr>
          <w:rStyle w:val="Strong"/>
          <w:b w:val="0"/>
        </w:rPr>
      </w:pPr>
    </w:p>
    <w:sectPr w:rsidR="006F29D9" w:rsidRPr="00E03323"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9B447" w14:textId="77777777" w:rsidR="00B21089" w:rsidRDefault="00B21089">
      <w:r>
        <w:separator/>
      </w:r>
    </w:p>
  </w:endnote>
  <w:endnote w:type="continuationSeparator" w:id="0">
    <w:p w14:paraId="6715CF25" w14:textId="77777777" w:rsidR="00B21089" w:rsidRDefault="00B21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6FAC6" w14:textId="77777777" w:rsidR="00B21089" w:rsidRDefault="00B21089">
      <w:r>
        <w:separator/>
      </w:r>
    </w:p>
  </w:footnote>
  <w:footnote w:type="continuationSeparator" w:id="0">
    <w:p w14:paraId="4BD14934" w14:textId="77777777" w:rsidR="00B21089" w:rsidRDefault="00B21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3"/>
  </w:num>
  <w:num w:numId="13">
    <w:abstractNumId w:val="11"/>
  </w:num>
  <w:num w:numId="14">
    <w:abstractNumId w:val="16"/>
  </w:num>
  <w:num w:numId="15">
    <w:abstractNumId w:val="14"/>
  </w:num>
  <w:num w:numId="16">
    <w:abstractNumId w:val="1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36213"/>
    <w:rsid w:val="00051E54"/>
    <w:rsid w:val="00067621"/>
    <w:rsid w:val="00084466"/>
    <w:rsid w:val="000E3BEC"/>
    <w:rsid w:val="000F7CB1"/>
    <w:rsid w:val="00122EB3"/>
    <w:rsid w:val="00132CA6"/>
    <w:rsid w:val="0014571A"/>
    <w:rsid w:val="00170D87"/>
    <w:rsid w:val="00177D49"/>
    <w:rsid w:val="00183022"/>
    <w:rsid w:val="001C065C"/>
    <w:rsid w:val="002506F6"/>
    <w:rsid w:val="0026191A"/>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4A7B5B"/>
    <w:rsid w:val="004E7A8A"/>
    <w:rsid w:val="00503B57"/>
    <w:rsid w:val="005145BB"/>
    <w:rsid w:val="00517BFD"/>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0517"/>
    <w:rsid w:val="00624261"/>
    <w:rsid w:val="00646AF9"/>
    <w:rsid w:val="00656AB8"/>
    <w:rsid w:val="006609B6"/>
    <w:rsid w:val="0068699D"/>
    <w:rsid w:val="006A353C"/>
    <w:rsid w:val="006A56FC"/>
    <w:rsid w:val="006B2D1C"/>
    <w:rsid w:val="006C1E1F"/>
    <w:rsid w:val="006E32CC"/>
    <w:rsid w:val="006E6FB5"/>
    <w:rsid w:val="006F29D9"/>
    <w:rsid w:val="007050F5"/>
    <w:rsid w:val="0071140F"/>
    <w:rsid w:val="00722C8F"/>
    <w:rsid w:val="00763DE9"/>
    <w:rsid w:val="00781234"/>
    <w:rsid w:val="007B7AF3"/>
    <w:rsid w:val="007E6E1E"/>
    <w:rsid w:val="008073EB"/>
    <w:rsid w:val="00843027"/>
    <w:rsid w:val="00873917"/>
    <w:rsid w:val="00874EBC"/>
    <w:rsid w:val="0087514A"/>
    <w:rsid w:val="00890CA9"/>
    <w:rsid w:val="00896384"/>
    <w:rsid w:val="008C3FE3"/>
    <w:rsid w:val="009211D3"/>
    <w:rsid w:val="00933173"/>
    <w:rsid w:val="00934124"/>
    <w:rsid w:val="00936539"/>
    <w:rsid w:val="00952A27"/>
    <w:rsid w:val="00977FA5"/>
    <w:rsid w:val="0098325D"/>
    <w:rsid w:val="009A40D7"/>
    <w:rsid w:val="009D7E97"/>
    <w:rsid w:val="009E52CA"/>
    <w:rsid w:val="009F72E5"/>
    <w:rsid w:val="00A03FFA"/>
    <w:rsid w:val="00A04942"/>
    <w:rsid w:val="00A04B52"/>
    <w:rsid w:val="00A072B2"/>
    <w:rsid w:val="00A1469B"/>
    <w:rsid w:val="00A14EF5"/>
    <w:rsid w:val="00A26D0F"/>
    <w:rsid w:val="00A42D9B"/>
    <w:rsid w:val="00A50A8B"/>
    <w:rsid w:val="00A55D1D"/>
    <w:rsid w:val="00A63D7C"/>
    <w:rsid w:val="00A7514C"/>
    <w:rsid w:val="00A8122C"/>
    <w:rsid w:val="00A83312"/>
    <w:rsid w:val="00AE41C4"/>
    <w:rsid w:val="00B21089"/>
    <w:rsid w:val="00C05C55"/>
    <w:rsid w:val="00C076C6"/>
    <w:rsid w:val="00C1247F"/>
    <w:rsid w:val="00C137DA"/>
    <w:rsid w:val="00C20F69"/>
    <w:rsid w:val="00C3113F"/>
    <w:rsid w:val="00C4536F"/>
    <w:rsid w:val="00C46ADA"/>
    <w:rsid w:val="00C54E5A"/>
    <w:rsid w:val="00C60737"/>
    <w:rsid w:val="00C8438D"/>
    <w:rsid w:val="00C85025"/>
    <w:rsid w:val="00C918BD"/>
    <w:rsid w:val="00C94E59"/>
    <w:rsid w:val="00CA680A"/>
    <w:rsid w:val="00CE0951"/>
    <w:rsid w:val="00CF68A2"/>
    <w:rsid w:val="00D16EB4"/>
    <w:rsid w:val="00D3779E"/>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UnresolvedMention">
    <w:name w:val="Unresolved Mention"/>
    <w:basedOn w:val="DefaultParagraphFont"/>
    <w:uiPriority w:val="99"/>
    <w:semiHidden/>
    <w:unhideWhenUsed/>
    <w:rsid w:val="00C54E5A"/>
    <w:rPr>
      <w:color w:val="605E5C"/>
      <w:shd w:val="clear" w:color="auto" w:fill="E1DFDD"/>
    </w:rPr>
  </w:style>
  <w:style w:type="paragraph" w:styleId="Bibliography">
    <w:name w:val="Bibliography"/>
    <w:basedOn w:val="Normal"/>
    <w:next w:val="Normal"/>
    <w:uiPriority w:val="37"/>
    <w:unhideWhenUsed/>
    <w:rsid w:val="00C60737"/>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11546">
      <w:bodyDiv w:val="1"/>
      <w:marLeft w:val="0"/>
      <w:marRight w:val="0"/>
      <w:marTop w:val="0"/>
      <w:marBottom w:val="0"/>
      <w:divBdr>
        <w:top w:val="none" w:sz="0" w:space="0" w:color="auto"/>
        <w:left w:val="none" w:sz="0" w:space="0" w:color="auto"/>
        <w:bottom w:val="none" w:sz="0" w:space="0" w:color="auto"/>
        <w:right w:val="none" w:sz="0" w:space="0" w:color="auto"/>
      </w:divBdr>
      <w:divsChild>
        <w:div w:id="1264724261">
          <w:marLeft w:val="0"/>
          <w:marRight w:val="0"/>
          <w:marTop w:val="0"/>
          <w:marBottom w:val="0"/>
          <w:divBdr>
            <w:top w:val="none" w:sz="0" w:space="0" w:color="auto"/>
            <w:left w:val="none" w:sz="0" w:space="0" w:color="auto"/>
            <w:bottom w:val="none" w:sz="0" w:space="0" w:color="auto"/>
            <w:right w:val="none" w:sz="0" w:space="0" w:color="auto"/>
          </w:divBdr>
          <w:divsChild>
            <w:div w:id="94639901">
              <w:marLeft w:val="0"/>
              <w:marRight w:val="0"/>
              <w:marTop w:val="0"/>
              <w:marBottom w:val="0"/>
              <w:divBdr>
                <w:top w:val="none" w:sz="0" w:space="0" w:color="auto"/>
                <w:left w:val="none" w:sz="0" w:space="0" w:color="auto"/>
                <w:bottom w:val="none" w:sz="0" w:space="0" w:color="auto"/>
                <w:right w:val="none" w:sz="0" w:space="0" w:color="auto"/>
              </w:divBdr>
              <w:divsChild>
                <w:div w:id="1012224710">
                  <w:marLeft w:val="600"/>
                  <w:marRight w:val="96"/>
                  <w:marTop w:val="0"/>
                  <w:marBottom w:val="0"/>
                  <w:divBdr>
                    <w:top w:val="none" w:sz="0" w:space="0" w:color="auto"/>
                    <w:left w:val="none" w:sz="0" w:space="0" w:color="auto"/>
                    <w:bottom w:val="none" w:sz="0" w:space="0" w:color="auto"/>
                    <w:right w:val="none" w:sz="0" w:space="0" w:color="auto"/>
                  </w:divBdr>
                </w:div>
              </w:divsChild>
            </w:div>
            <w:div w:id="577639164">
              <w:marLeft w:val="0"/>
              <w:marRight w:val="0"/>
              <w:marTop w:val="0"/>
              <w:marBottom w:val="0"/>
              <w:divBdr>
                <w:top w:val="none" w:sz="0" w:space="0" w:color="auto"/>
                <w:left w:val="none" w:sz="0" w:space="0" w:color="auto"/>
                <w:bottom w:val="none" w:sz="0" w:space="0" w:color="auto"/>
                <w:right w:val="none" w:sz="0" w:space="0" w:color="auto"/>
              </w:divBdr>
              <w:divsChild>
                <w:div w:id="123516887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142043">
      <w:bodyDiv w:val="1"/>
      <w:marLeft w:val="0"/>
      <w:marRight w:val="0"/>
      <w:marTop w:val="0"/>
      <w:marBottom w:val="0"/>
      <w:divBdr>
        <w:top w:val="none" w:sz="0" w:space="0" w:color="auto"/>
        <w:left w:val="none" w:sz="0" w:space="0" w:color="auto"/>
        <w:bottom w:val="none" w:sz="0" w:space="0" w:color="auto"/>
        <w:right w:val="none" w:sz="0" w:space="0" w:color="auto"/>
      </w:divBdr>
      <w:divsChild>
        <w:div w:id="1029794718">
          <w:marLeft w:val="0"/>
          <w:marRight w:val="0"/>
          <w:marTop w:val="0"/>
          <w:marBottom w:val="0"/>
          <w:divBdr>
            <w:top w:val="none" w:sz="0" w:space="0" w:color="auto"/>
            <w:left w:val="none" w:sz="0" w:space="0" w:color="auto"/>
            <w:bottom w:val="none" w:sz="0" w:space="0" w:color="auto"/>
            <w:right w:val="none" w:sz="0" w:space="0" w:color="auto"/>
          </w:divBdr>
          <w:divsChild>
            <w:div w:id="2029792677">
              <w:marLeft w:val="0"/>
              <w:marRight w:val="0"/>
              <w:marTop w:val="0"/>
              <w:marBottom w:val="0"/>
              <w:divBdr>
                <w:top w:val="none" w:sz="0" w:space="0" w:color="auto"/>
                <w:left w:val="none" w:sz="0" w:space="0" w:color="auto"/>
                <w:bottom w:val="none" w:sz="0" w:space="0" w:color="auto"/>
                <w:right w:val="none" w:sz="0" w:space="0" w:color="auto"/>
              </w:divBdr>
              <w:divsChild>
                <w:div w:id="1471283360">
                  <w:marLeft w:val="600"/>
                  <w:marRight w:val="96"/>
                  <w:marTop w:val="0"/>
                  <w:marBottom w:val="0"/>
                  <w:divBdr>
                    <w:top w:val="none" w:sz="0" w:space="0" w:color="auto"/>
                    <w:left w:val="none" w:sz="0" w:space="0" w:color="auto"/>
                    <w:bottom w:val="none" w:sz="0" w:space="0" w:color="auto"/>
                    <w:right w:val="none" w:sz="0" w:space="0" w:color="auto"/>
                  </w:divBdr>
                </w:div>
              </w:divsChild>
            </w:div>
            <w:div w:id="1211457624">
              <w:marLeft w:val="0"/>
              <w:marRight w:val="0"/>
              <w:marTop w:val="0"/>
              <w:marBottom w:val="0"/>
              <w:divBdr>
                <w:top w:val="none" w:sz="0" w:space="0" w:color="auto"/>
                <w:left w:val="none" w:sz="0" w:space="0" w:color="auto"/>
                <w:bottom w:val="none" w:sz="0" w:space="0" w:color="auto"/>
                <w:right w:val="none" w:sz="0" w:space="0" w:color="auto"/>
              </w:divBdr>
              <w:divsChild>
                <w:div w:id="623268892">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7987374">
      <w:bodyDiv w:val="1"/>
      <w:marLeft w:val="0"/>
      <w:marRight w:val="0"/>
      <w:marTop w:val="0"/>
      <w:marBottom w:val="0"/>
      <w:divBdr>
        <w:top w:val="none" w:sz="0" w:space="0" w:color="auto"/>
        <w:left w:val="none" w:sz="0" w:space="0" w:color="auto"/>
        <w:bottom w:val="none" w:sz="0" w:space="0" w:color="auto"/>
        <w:right w:val="none" w:sz="0" w:space="0" w:color="auto"/>
      </w:divBdr>
      <w:divsChild>
        <w:div w:id="2039045444">
          <w:marLeft w:val="0"/>
          <w:marRight w:val="0"/>
          <w:marTop w:val="0"/>
          <w:marBottom w:val="0"/>
          <w:divBdr>
            <w:top w:val="none" w:sz="0" w:space="0" w:color="auto"/>
            <w:left w:val="none" w:sz="0" w:space="0" w:color="auto"/>
            <w:bottom w:val="none" w:sz="0" w:space="0" w:color="auto"/>
            <w:right w:val="none" w:sz="0" w:space="0" w:color="auto"/>
          </w:divBdr>
          <w:divsChild>
            <w:div w:id="535240386">
              <w:marLeft w:val="0"/>
              <w:marRight w:val="0"/>
              <w:marTop w:val="0"/>
              <w:marBottom w:val="0"/>
              <w:divBdr>
                <w:top w:val="none" w:sz="0" w:space="0" w:color="auto"/>
                <w:left w:val="none" w:sz="0" w:space="0" w:color="auto"/>
                <w:bottom w:val="none" w:sz="0" w:space="0" w:color="auto"/>
                <w:right w:val="none" w:sz="0" w:space="0" w:color="auto"/>
              </w:divBdr>
              <w:divsChild>
                <w:div w:id="2142919981">
                  <w:marLeft w:val="600"/>
                  <w:marRight w:val="96"/>
                  <w:marTop w:val="0"/>
                  <w:marBottom w:val="0"/>
                  <w:divBdr>
                    <w:top w:val="none" w:sz="0" w:space="0" w:color="auto"/>
                    <w:left w:val="none" w:sz="0" w:space="0" w:color="auto"/>
                    <w:bottom w:val="none" w:sz="0" w:space="0" w:color="auto"/>
                    <w:right w:val="none" w:sz="0" w:space="0" w:color="auto"/>
                  </w:divBdr>
                </w:div>
              </w:divsChild>
            </w:div>
            <w:div w:id="1505633589">
              <w:marLeft w:val="0"/>
              <w:marRight w:val="0"/>
              <w:marTop w:val="0"/>
              <w:marBottom w:val="0"/>
              <w:divBdr>
                <w:top w:val="none" w:sz="0" w:space="0" w:color="auto"/>
                <w:left w:val="none" w:sz="0" w:space="0" w:color="auto"/>
                <w:bottom w:val="none" w:sz="0" w:space="0" w:color="auto"/>
                <w:right w:val="none" w:sz="0" w:space="0" w:color="auto"/>
              </w:divBdr>
              <w:divsChild>
                <w:div w:id="30103870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14560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David Minh</cp:lastModifiedBy>
  <cp:revision>9</cp:revision>
  <cp:lastPrinted>2011-03-11T19:43:00Z</cp:lastPrinted>
  <dcterms:created xsi:type="dcterms:W3CDTF">2020-12-09T20:20:00Z</dcterms:created>
  <dcterms:modified xsi:type="dcterms:W3CDTF">2020-12-09T23:28:00Z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ZOTERO_PREF_1">
    <vt:lpwstr>&lt;data data-version="3" zotero-version="5.0.93"&gt;&lt;session id="hu9NsHT8"/&gt;&lt;style id="http://www.zotero.org/styles/ieee" locale="en-US" hasBibliography="1" bibliographyStyleHasBeenSet="1"/&gt;&lt;prefs&gt;&lt;pref name="fieldType" value="Field"/&gt;&lt;/prefs&gt;&lt;/data&gt;</vt:lpwstr>
  </property>
</Properties>
</file>