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BA53F">
      <w:pPr>
        <w:spacing w:after="60"/>
        <w:jc w:val="center"/>
      </w:pPr>
      <w:r>
        <w:rPr>
          <w:rFonts w:ascii="黑体" w:hAnsi="黑体" w:eastAsia="黑体"/>
          <w:b/>
          <w:sz w:val="28"/>
        </w:rPr>
        <w:t>基于深度学习的牛津宠物细粒度分类实验报告</w:t>
      </w:r>
    </w:p>
    <w:p w14:paraId="68CBA4A7">
      <w:pPr>
        <w:pBdr>
          <w:bottom w:val="single" w:color="1F3B63" w:sz="8" w:space="4"/>
        </w:pBdr>
        <w:spacing w:after="100"/>
        <w:jc w:val="center"/>
      </w:pPr>
      <w:r>
        <w:rPr>
          <w:rFonts w:ascii="宋体" w:hAnsi="宋体" w:eastAsia="宋体"/>
          <w:color w:val="595959"/>
          <w:sz w:val="18"/>
        </w:rPr>
        <w:t>姓名：＿</w:t>
      </w:r>
      <w:r>
        <w:rPr>
          <w:rFonts w:hint="eastAsia" w:ascii="宋体" w:hAnsi="宋体" w:eastAsia="宋体"/>
          <w:color w:val="595959"/>
          <w:sz w:val="18"/>
          <w:lang w:val="en-US" w:eastAsia="zh-CN"/>
        </w:rPr>
        <w:t>吴延帆</w:t>
      </w:r>
      <w:r>
        <w:rPr>
          <w:rFonts w:ascii="宋体" w:hAnsi="宋体" w:eastAsia="宋体"/>
          <w:color w:val="595959"/>
          <w:sz w:val="18"/>
        </w:rPr>
        <w:t>＿＿＿＿＿　｜　学号：＿</w:t>
      </w:r>
      <w:r>
        <w:rPr>
          <w:rFonts w:hint="eastAsia" w:ascii="宋体" w:hAnsi="宋体" w:eastAsia="宋体"/>
          <w:color w:val="595959"/>
          <w:sz w:val="18"/>
          <w:lang w:val="en-US" w:eastAsia="zh-CN"/>
        </w:rPr>
        <w:t>W124301176</w:t>
      </w:r>
      <w:bookmarkStart w:id="0" w:name="_GoBack"/>
      <w:bookmarkEnd w:id="0"/>
      <w:r>
        <w:rPr>
          <w:rFonts w:ascii="宋体" w:hAnsi="宋体" w:eastAsia="宋体"/>
          <w:color w:val="595959"/>
          <w:sz w:val="18"/>
        </w:rPr>
        <w:t>＿＿＿＿＿　｜　GitHub：https://github.com/＿＿＿＿/pet-classifier</w:t>
      </w:r>
    </w:p>
    <w:p w14:paraId="279EE929">
      <w:pPr>
        <w:spacing w:before="100" w:after="60"/>
      </w:pPr>
      <w:r>
        <w:rPr>
          <w:rFonts w:ascii="黑体" w:hAnsi="黑体" w:eastAsia="黑体"/>
          <w:b/>
          <w:color w:val="1F3B63"/>
          <w:sz w:val="24"/>
        </w:rPr>
        <w:t>1. 任务背景与实验设置</w:t>
      </w:r>
    </w:p>
    <w:p w14:paraId="5B90EA8E">
      <w:pPr>
        <w:spacing w:before="60" w:after="40"/>
      </w:pPr>
      <w:r>
        <w:rPr>
          <w:rFonts w:ascii="黑体" w:hAnsi="黑体" w:eastAsia="黑体"/>
          <w:b/>
          <w:sz w:val="21"/>
        </w:rPr>
        <w:t>1.1 任务背景与数据集</w:t>
      </w:r>
    </w:p>
    <w:p w14:paraId="5548B5C7">
      <w:pPr>
        <w:spacing w:after="40" w:line="276" w:lineRule="auto"/>
      </w:pPr>
      <w:r>
        <w:rPr>
          <w:rFonts w:ascii="宋体" w:hAnsi="宋体" w:eastAsia="宋体"/>
          <w:sz w:val="20"/>
        </w:rPr>
        <w:t>细粒度图像分类旨在区分同一大类别下外观高度相似的子类。本实验采用 Oxford-IIIT Pet 数据集（37 个品种，约 7,349 张图片），是衡量细粒度分类模型判别能力的经典基准。</w:t>
      </w:r>
    </w:p>
    <w:p w14:paraId="5B96C2C5">
      <w:pPr>
        <w:spacing w:before="60" w:after="40"/>
      </w:pPr>
      <w:r>
        <w:rPr>
          <w:rFonts w:ascii="黑体" w:hAnsi="黑体" w:eastAsia="黑体"/>
          <w:b/>
          <w:sz w:val="21"/>
        </w:rPr>
        <w:t>1.2 数据划分</w:t>
      </w:r>
    </w:p>
    <w:p w14:paraId="030A71E4">
      <w:pPr>
        <w:spacing w:after="40" w:line="276" w:lineRule="auto"/>
      </w:pPr>
      <w:r>
        <w:rPr>
          <w:rFonts w:ascii="宋体" w:hAnsi="宋体" w:eastAsia="宋体"/>
          <w:sz w:val="20"/>
        </w:rPr>
        <w:t>实验使用 torchvision 官方 trainval 划分（3,680 张），按 70% / 15% / 15% 比例分层抽样（Stratified Split），固定随机种子 random_state=42，使 Baseline 与消融实验使用完全一致的数据划分，从源头保证对比公平。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551"/>
        <w:gridCol w:w="2551"/>
      </w:tblGrid>
      <w:tr w14:paraId="34C4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CE6F1"/>
          </w:tcPr>
          <w:p w14:paraId="35BA462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数据集合</w:t>
            </w:r>
          </w:p>
        </w:tc>
        <w:tc>
          <w:tcPr>
            <w:tcW w:w="2551" w:type="dxa"/>
            <w:shd w:val="clear" w:color="auto" w:fill="DCE6F1"/>
          </w:tcPr>
          <w:p w14:paraId="44BA04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样本数量（张）</w:t>
            </w:r>
          </w:p>
        </w:tc>
        <w:tc>
          <w:tcPr>
            <w:tcW w:w="2551" w:type="dxa"/>
            <w:shd w:val="clear" w:color="auto" w:fill="DCE6F1"/>
          </w:tcPr>
          <w:p w14:paraId="7B9AAE3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占比</w:t>
            </w:r>
          </w:p>
        </w:tc>
      </w:tr>
      <w:tr w14:paraId="3677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CF69E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训练集</w:t>
            </w:r>
          </w:p>
        </w:tc>
        <w:tc>
          <w:tcPr>
            <w:tcW w:w="2551" w:type="dxa"/>
          </w:tcPr>
          <w:p w14:paraId="64E1C9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2576</w:t>
            </w:r>
          </w:p>
        </w:tc>
        <w:tc>
          <w:tcPr>
            <w:tcW w:w="2551" w:type="dxa"/>
          </w:tcPr>
          <w:p w14:paraId="66BF25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70.0%</w:t>
            </w:r>
          </w:p>
        </w:tc>
      </w:tr>
      <w:tr w14:paraId="596A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5FCA4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验证集</w:t>
            </w:r>
          </w:p>
        </w:tc>
        <w:tc>
          <w:tcPr>
            <w:tcW w:w="2551" w:type="dxa"/>
          </w:tcPr>
          <w:p w14:paraId="2CB828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552</w:t>
            </w:r>
          </w:p>
        </w:tc>
        <w:tc>
          <w:tcPr>
            <w:tcW w:w="2551" w:type="dxa"/>
          </w:tcPr>
          <w:p w14:paraId="630604E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15.0%</w:t>
            </w:r>
          </w:p>
        </w:tc>
      </w:tr>
      <w:tr w14:paraId="6BA3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33FFC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测试集</w:t>
            </w:r>
          </w:p>
        </w:tc>
        <w:tc>
          <w:tcPr>
            <w:tcW w:w="2551" w:type="dxa"/>
          </w:tcPr>
          <w:p w14:paraId="2DCAFF7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552</w:t>
            </w:r>
          </w:p>
        </w:tc>
        <w:tc>
          <w:tcPr>
            <w:tcW w:w="2551" w:type="dxa"/>
          </w:tcPr>
          <w:p w14:paraId="2D41F0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15.0%</w:t>
            </w:r>
          </w:p>
        </w:tc>
      </w:tr>
    </w:tbl>
    <w:p w14:paraId="0DA0E03E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表 1：数据集划分（分层抽样，random_state=42）</w:t>
      </w:r>
    </w:p>
    <w:p w14:paraId="69D53453">
      <w:pPr>
        <w:spacing w:before="60" w:after="40"/>
      </w:pPr>
      <w:r>
        <w:rPr>
          <w:rFonts w:ascii="黑体" w:hAnsi="黑体" w:eastAsia="黑体"/>
          <w:b/>
          <w:sz w:val="21"/>
        </w:rPr>
        <w:t>1.3 数据预处理</w:t>
      </w:r>
    </w:p>
    <w:p w14:paraId="1EFCAE86">
      <w:pPr>
        <w:spacing w:after="40" w:line="276" w:lineRule="auto"/>
      </w:pPr>
      <w:r>
        <w:rPr>
          <w:rFonts w:ascii="宋体" w:hAnsi="宋体" w:eastAsia="宋体"/>
          <w:sz w:val="20"/>
        </w:rPr>
        <w:t>训练集采用 Resize(256) → RandomCrop(224) → RandomHorizontalFlip → Normalize 增强数据多样性、缓解过拟合；验证/测试集仅采用 Resize(256) → CenterCrop(224) → Normalize，保证评测确定性，避免数据泄漏。</w:t>
      </w:r>
    </w:p>
    <w:p w14:paraId="20E1E0D2">
      <w:pPr>
        <w:spacing w:before="60" w:after="40"/>
      </w:pPr>
      <w:r>
        <w:rPr>
          <w:rFonts w:ascii="黑体" w:hAnsi="黑体" w:eastAsia="黑体"/>
          <w:b/>
          <w:sz w:val="21"/>
        </w:rPr>
        <w:t>1.4 模型与训练配置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953"/>
      </w:tblGrid>
      <w:tr w14:paraId="46EA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CE6F1"/>
          </w:tcPr>
          <w:p w14:paraId="193EB4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w="5953" w:type="dxa"/>
            <w:shd w:val="clear" w:color="auto" w:fill="DCE6F1"/>
          </w:tcPr>
          <w:p w14:paraId="0FAB9B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</w:tr>
      <w:tr w14:paraId="1573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9F8504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</w:t>
            </w:r>
          </w:p>
        </w:tc>
        <w:tc>
          <w:tcPr>
            <w:tcW w:w="5953" w:type="dxa"/>
          </w:tcPr>
          <w:p w14:paraId="23E7AE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ResNet-18（ImageNet 预训练）</w:t>
            </w:r>
          </w:p>
        </w:tc>
      </w:tr>
      <w:tr w14:paraId="2A47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709DCB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分类头</w:t>
            </w:r>
          </w:p>
        </w:tc>
        <w:tc>
          <w:tcPr>
            <w:tcW w:w="5953" w:type="dxa"/>
          </w:tcPr>
          <w:p w14:paraId="72811A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最后一层全连接层替换为 37 类输出</w:t>
            </w:r>
          </w:p>
        </w:tc>
      </w:tr>
      <w:tr w14:paraId="13DE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4B9A2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优化器 / 学习率</w:t>
            </w:r>
          </w:p>
        </w:tc>
        <w:tc>
          <w:tcPr>
            <w:tcW w:w="5953" w:type="dxa"/>
          </w:tcPr>
          <w:p w14:paraId="683BBE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AdamW / 1e-4</w:t>
            </w:r>
          </w:p>
        </w:tc>
      </w:tr>
      <w:tr w14:paraId="0EC72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53165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Batch Size / 轮数</w:t>
            </w:r>
          </w:p>
        </w:tc>
        <w:tc>
          <w:tcPr>
            <w:tcW w:w="5953" w:type="dxa"/>
          </w:tcPr>
          <w:p w14:paraId="336113C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 / 10 Epochs</w:t>
            </w:r>
          </w:p>
        </w:tc>
      </w:tr>
      <w:tr w14:paraId="0852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E03D8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损失函数</w:t>
            </w:r>
          </w:p>
        </w:tc>
        <w:tc>
          <w:tcPr>
            <w:tcW w:w="5953" w:type="dxa"/>
          </w:tcPr>
          <w:p w14:paraId="1FEEF3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Baseline：CE；消融组：Label Smoothing CE（0.1）</w:t>
            </w:r>
          </w:p>
        </w:tc>
      </w:tr>
      <w:tr w14:paraId="04333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140BE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硬件环境</w:t>
            </w:r>
          </w:p>
        </w:tc>
        <w:tc>
          <w:tcPr>
            <w:tcW w:w="5953" w:type="dxa"/>
          </w:tcPr>
          <w:p w14:paraId="7C2791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RTX 4060 Laptop GPU（8GB），PyTorch 2.5.1</w:t>
            </w:r>
          </w:p>
        </w:tc>
      </w:tr>
    </w:tbl>
    <w:p w14:paraId="79FA7ADF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表 2：模型与训练配置</w:t>
      </w:r>
    </w:p>
    <w:p w14:paraId="63FDDDD1">
      <w:pPr>
        <w:spacing w:before="100" w:after="60"/>
      </w:pPr>
      <w:r>
        <w:rPr>
          <w:rFonts w:ascii="黑体" w:hAnsi="黑体" w:eastAsia="黑体"/>
          <w:b/>
          <w:color w:val="1F3B63"/>
          <w:sz w:val="24"/>
        </w:rPr>
        <w:t>2. 实验结果与消融分析</w:t>
      </w:r>
    </w:p>
    <w:p w14:paraId="42584F87">
      <w:pPr>
        <w:spacing w:before="60" w:after="40"/>
      </w:pPr>
      <w:r>
        <w:rPr>
          <w:rFonts w:ascii="黑体" w:hAnsi="黑体" w:eastAsia="黑体"/>
          <w:b/>
          <w:sz w:val="21"/>
        </w:rPr>
        <w:t>2.1 消融实验设计</w:t>
      </w:r>
    </w:p>
    <w:p w14:paraId="04A2C4C2">
      <w:pPr>
        <w:spacing w:after="40" w:line="276" w:lineRule="auto"/>
      </w:pPr>
      <w:r>
        <w:rPr>
          <w:rFonts w:ascii="宋体" w:hAnsi="宋体" w:eastAsia="宋体"/>
          <w:sz w:val="20"/>
        </w:rPr>
        <w:t>采用单变量控制法：以 Baseline（标准交叉熵 + 全参数微调）为对照组，实验组仅将损失函数替换为 Label Smoothing CrossEntropy（0.1），其余设置完全一致；两组均以验证集最优模型在固定测试集上评测。</w:t>
      </w:r>
    </w:p>
    <w:p w14:paraId="02FE858F">
      <w:pPr>
        <w:spacing w:before="60" w:after="40"/>
      </w:pPr>
      <w:r>
        <w:rPr>
          <w:rFonts w:ascii="黑体" w:hAnsi="黑体" w:eastAsia="黑体"/>
          <w:b/>
          <w:sz w:val="21"/>
        </w:rPr>
        <w:t>2.2 定量对比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191"/>
        <w:gridCol w:w="1191"/>
        <w:gridCol w:w="1191"/>
        <w:gridCol w:w="1361"/>
        <w:gridCol w:w="1304"/>
      </w:tblGrid>
      <w:tr w14:paraId="3B2B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CE6F1"/>
          </w:tcPr>
          <w:p w14:paraId="53CF39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实验配置</w:t>
            </w:r>
          </w:p>
        </w:tc>
        <w:tc>
          <w:tcPr>
            <w:tcW w:w="1191" w:type="dxa"/>
            <w:shd w:val="clear" w:color="auto" w:fill="DCE6F1"/>
          </w:tcPr>
          <w:p w14:paraId="436301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Top-1 (%)</w:t>
            </w:r>
          </w:p>
        </w:tc>
        <w:tc>
          <w:tcPr>
            <w:tcW w:w="1191" w:type="dxa"/>
            <w:shd w:val="clear" w:color="auto" w:fill="DCE6F1"/>
          </w:tcPr>
          <w:p w14:paraId="5FF2521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Top-5 (%)</w:t>
            </w:r>
          </w:p>
        </w:tc>
        <w:tc>
          <w:tcPr>
            <w:tcW w:w="1191" w:type="dxa"/>
            <w:shd w:val="clear" w:color="auto" w:fill="DCE6F1"/>
          </w:tcPr>
          <w:p w14:paraId="4BD230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Macro-F1</w:t>
            </w:r>
          </w:p>
        </w:tc>
        <w:tc>
          <w:tcPr>
            <w:tcW w:w="1361" w:type="dxa"/>
            <w:shd w:val="clear" w:color="auto" w:fill="DCE6F1"/>
          </w:tcPr>
          <w:p w14:paraId="2FE4218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最优验证 (%)</w:t>
            </w:r>
          </w:p>
        </w:tc>
        <w:tc>
          <w:tcPr>
            <w:tcW w:w="1304" w:type="dxa"/>
            <w:shd w:val="clear" w:color="auto" w:fill="DCE6F1"/>
          </w:tcPr>
          <w:p w14:paraId="7630011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轮数/耗时</w:t>
            </w:r>
          </w:p>
        </w:tc>
      </w:tr>
      <w:tr w14:paraId="3A67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235D9E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Baseline（CE 损失）</w:t>
            </w:r>
          </w:p>
        </w:tc>
        <w:tc>
          <w:tcPr>
            <w:tcW w:w="1191" w:type="dxa"/>
          </w:tcPr>
          <w:p w14:paraId="3B2057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89.86</w:t>
            </w:r>
          </w:p>
        </w:tc>
        <w:tc>
          <w:tcPr>
            <w:tcW w:w="1191" w:type="dxa"/>
          </w:tcPr>
          <w:p w14:paraId="50E468E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99.09</w:t>
            </w:r>
          </w:p>
        </w:tc>
        <w:tc>
          <w:tcPr>
            <w:tcW w:w="1191" w:type="dxa"/>
          </w:tcPr>
          <w:p w14:paraId="74F505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0.8985</w:t>
            </w:r>
          </w:p>
        </w:tc>
        <w:tc>
          <w:tcPr>
            <w:tcW w:w="1361" w:type="dxa"/>
          </w:tcPr>
          <w:p w14:paraId="780225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93.66</w:t>
            </w:r>
          </w:p>
        </w:tc>
        <w:tc>
          <w:tcPr>
            <w:tcW w:w="1304" w:type="dxa"/>
          </w:tcPr>
          <w:p w14:paraId="22FDF9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 ep / ~4 min</w:t>
            </w:r>
          </w:p>
        </w:tc>
      </w:tr>
      <w:tr w14:paraId="5038C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22B47E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Label Smoothing 0.1</w:t>
            </w:r>
          </w:p>
        </w:tc>
        <w:tc>
          <w:tcPr>
            <w:tcW w:w="1191" w:type="dxa"/>
          </w:tcPr>
          <w:p w14:paraId="69BF678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90.58</w:t>
            </w:r>
          </w:p>
        </w:tc>
        <w:tc>
          <w:tcPr>
            <w:tcW w:w="1191" w:type="dxa"/>
          </w:tcPr>
          <w:p w14:paraId="21ED7D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98.91</w:t>
            </w:r>
          </w:p>
        </w:tc>
        <w:tc>
          <w:tcPr>
            <w:tcW w:w="1191" w:type="dxa"/>
          </w:tcPr>
          <w:p w14:paraId="7AA829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0.9050</w:t>
            </w:r>
          </w:p>
        </w:tc>
        <w:tc>
          <w:tcPr>
            <w:tcW w:w="1361" w:type="dxa"/>
          </w:tcPr>
          <w:p w14:paraId="289042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92.93</w:t>
            </w:r>
          </w:p>
        </w:tc>
        <w:tc>
          <w:tcPr>
            <w:tcW w:w="1304" w:type="dxa"/>
          </w:tcPr>
          <w:p w14:paraId="2C24F3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 ep / ~3 min</w:t>
            </w:r>
          </w:p>
        </w:tc>
      </w:tr>
      <w:tr w14:paraId="4E15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37F0564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相对提升</w:t>
            </w:r>
          </w:p>
        </w:tc>
        <w:tc>
          <w:tcPr>
            <w:tcW w:w="1191" w:type="dxa"/>
          </w:tcPr>
          <w:p w14:paraId="67C440E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+0.72</w:t>
            </w:r>
          </w:p>
        </w:tc>
        <w:tc>
          <w:tcPr>
            <w:tcW w:w="1191" w:type="dxa"/>
          </w:tcPr>
          <w:p w14:paraId="606A144A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-0.18</w:t>
            </w:r>
          </w:p>
        </w:tc>
        <w:tc>
          <w:tcPr>
            <w:tcW w:w="1191" w:type="dxa"/>
          </w:tcPr>
          <w:p w14:paraId="0DB2221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+0.0065</w:t>
            </w:r>
          </w:p>
        </w:tc>
        <w:tc>
          <w:tcPr>
            <w:tcW w:w="1361" w:type="dxa"/>
          </w:tcPr>
          <w:p w14:paraId="558CC8F1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-0.73</w:t>
            </w:r>
          </w:p>
        </w:tc>
        <w:tc>
          <w:tcPr>
            <w:tcW w:w="1304" w:type="dxa"/>
          </w:tcPr>
          <w:p w14:paraId="3FC885D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 w14:paraId="3F494C25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表 3：Baseline 与 Label Smoothing 组在固定测试集上的对比结果</w:t>
      </w:r>
    </w:p>
    <w:p w14:paraId="6502862C">
      <w:pPr>
        <w:spacing w:before="60" w:after="40"/>
      </w:pPr>
      <w:r>
        <w:rPr>
          <w:rFonts w:ascii="黑体" w:hAnsi="黑体" w:eastAsia="黑体"/>
          <w:b/>
          <w:sz w:val="21"/>
        </w:rPr>
        <w:t>2.3 收敛曲线分析</w:t>
      </w:r>
    </w:p>
    <w:p w14:paraId="5689DAD9">
      <w:pPr>
        <w:spacing w:after="0"/>
        <w:jc w:val="center"/>
      </w:pPr>
      <w:r>
        <w:drawing>
          <wp:inline distT="0" distB="0" distL="114300" distR="114300">
            <wp:extent cx="4139565" cy="14325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3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F8CE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图 1：Baseline 与 Label Smoothing 组的训练/验证曲线对比</w:t>
      </w:r>
    </w:p>
    <w:p w14:paraId="3EBC13A7">
      <w:pPr>
        <w:spacing w:after="40" w:line="276" w:lineRule="auto"/>
      </w:pPr>
      <w:r>
        <w:rPr>
          <w:rFonts w:ascii="宋体" w:hAnsi="宋体" w:eastAsia="宋体"/>
          <w:sz w:val="20"/>
        </w:rPr>
        <w:t>曲线分析：（1）两组均在 10 个 epoch 内收敛良好；（2）LS 组训练损失下降更平缓且整体偏高——软标签（平滑后的目标分布）使模型无法将训练损失压至接近 0，正是抑制过度自信的体现；（3）其验证损失与准确率曲线更平稳、波动更小，说明泛化更稳定、过拟合程度更低。</w:t>
      </w:r>
    </w:p>
    <w:p w14:paraId="05BF0580">
      <w:pPr>
        <w:spacing w:after="40" w:line="276" w:lineRule="auto"/>
      </w:pPr>
      <w:r>
        <w:rPr>
          <w:rFonts w:ascii="宋体" w:hAnsi="宋体" w:eastAsia="宋体"/>
          <w:sz w:val="20"/>
        </w:rPr>
        <w:t>值得注意的是，LS 组最优验证准确率（92.93%）略低于 Baseline（93.66%），但固定测试集上的 Top-1 与 Macro-F1 反而更高——验证准确率取单轮峰值、受随机波动影响较大，而固定划分的测试集指标更能反映模型的真实泛化能力。</w:t>
      </w:r>
    </w:p>
    <w:p w14:paraId="3DB1256E">
      <w:pPr>
        <w:spacing w:before="60" w:after="40"/>
      </w:pPr>
      <w:r>
        <w:rPr>
          <w:rFonts w:ascii="黑体" w:hAnsi="黑体" w:eastAsia="黑体"/>
          <w:b/>
          <w:sz w:val="21"/>
        </w:rPr>
        <w:t>2.4 实验结论</w:t>
      </w:r>
    </w:p>
    <w:p w14:paraId="0D186D9D">
      <w:pPr>
        <w:spacing w:after="40" w:line="276" w:lineRule="auto"/>
      </w:pPr>
      <w:r>
        <w:rPr>
          <w:rFonts w:ascii="宋体" w:hAnsi="宋体" w:eastAsia="宋体"/>
          <w:sz w:val="20"/>
        </w:rPr>
        <w:t>在固定测试集上，Label Smoothing 组 Top-1 90.58%（+0.72 pp）、Macro-F1 0.9050（+0.0065）均优于 Baseline，Top-5（98.91% vs 99.09%）基本持平。Label Smoothing 通过软化标签有效抑制模型过度自信，在细粒度分类这一外观高度相似、易过拟合的场景下带来稳定的泛化收益。</w:t>
      </w:r>
    </w:p>
    <w:p w14:paraId="77B471BE">
      <w:pPr>
        <w:spacing w:before="100" w:after="60"/>
      </w:pPr>
      <w:r>
        <w:rPr>
          <w:rFonts w:ascii="黑体" w:hAnsi="黑体" w:eastAsia="黑体"/>
          <w:b/>
          <w:color w:val="1F3B63"/>
          <w:sz w:val="24"/>
        </w:rPr>
        <w:t>3. 错误案例分析（Bad Case）与 Grad-CAM 可视化</w:t>
      </w:r>
    </w:p>
    <w:p w14:paraId="61B91399">
      <w:pPr>
        <w:spacing w:before="60" w:after="40"/>
      </w:pPr>
      <w:r>
        <w:rPr>
          <w:rFonts w:ascii="黑体" w:hAnsi="黑体" w:eastAsia="黑体"/>
          <w:b/>
          <w:sz w:val="21"/>
        </w:rPr>
        <w:t>3.1 混淆矩阵分析</w:t>
      </w:r>
    </w:p>
    <w:p w14:paraId="1E2C49A2">
      <w:pPr>
        <w:spacing w:after="40" w:line="276" w:lineRule="auto"/>
      </w:pPr>
      <w:r>
        <w:rPr>
          <w:rFonts w:ascii="宋体" w:hAnsi="宋体" w:eastAsia="宋体"/>
          <w:sz w:val="20"/>
        </w:rPr>
        <w:t>图 2 为 Label Smoothing 模型在测试集上的 37 类混淆矩阵，对角线显著亮于非对角线，整体分类正确率较高。最易混淆的类别对集中于外观高度相似的品种（见表 4）。</w:t>
      </w:r>
    </w:p>
    <w:p w14:paraId="65386B0C">
      <w:pPr>
        <w:spacing w:after="0"/>
        <w:jc w:val="center"/>
      </w:pPr>
      <w:r>
        <w:drawing>
          <wp:inline distT="0" distB="0" distL="114300" distR="114300">
            <wp:extent cx="3311525" cy="28022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80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DB1A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图 2：Label Smoothing 模型在测试集上的 37 类混淆矩阵（Top-1 90.58%）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3288"/>
        <w:gridCol w:w="1247"/>
      </w:tblGrid>
      <w:tr w14:paraId="58AB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</w:tcPr>
          <w:p w14:paraId="70A09FA6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易混淆类别对</w:t>
            </w:r>
          </w:p>
        </w:tc>
        <w:tc>
          <w:tcPr>
            <w:tcW w:w="3288" w:type="dxa"/>
            <w:shd w:val="clear" w:color="auto" w:fill="DCE6F1"/>
          </w:tcPr>
          <w:p w14:paraId="2688D9AE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w="1247" w:type="dxa"/>
            <w:shd w:val="clear" w:color="auto" w:fill="DCE6F1"/>
          </w:tcPr>
          <w:p w14:paraId="276333A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混淆数量</w:t>
            </w:r>
          </w:p>
        </w:tc>
      </w:tr>
      <w:tr w14:paraId="4E2B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5D0B1CB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Abyssinian 与 Bengal</w:t>
            </w:r>
          </w:p>
        </w:tc>
        <w:tc>
          <w:tcPr>
            <w:tcW w:w="3288" w:type="dxa"/>
          </w:tcPr>
          <w:p w14:paraId="04077BB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短毛猫，斑纹相似</w:t>
            </w:r>
          </w:p>
        </w:tc>
        <w:tc>
          <w:tcPr>
            <w:tcW w:w="1247" w:type="dxa"/>
          </w:tcPr>
          <w:p w14:paraId="6F29D1F9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 w14:paraId="6B21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05944DA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Bengal 与 Egyptian Mau</w:t>
            </w:r>
          </w:p>
        </w:tc>
        <w:tc>
          <w:tcPr>
            <w:tcW w:w="3288" w:type="dxa"/>
          </w:tcPr>
          <w:p w14:paraId="6AC82CD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斑点猫，花纹相近</w:t>
            </w:r>
          </w:p>
        </w:tc>
        <w:tc>
          <w:tcPr>
            <w:tcW w:w="1247" w:type="dxa"/>
          </w:tcPr>
          <w:p w14:paraId="7639647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 w14:paraId="4160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9AAE69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British Shorthair 与 Russian Blue</w:t>
            </w:r>
          </w:p>
        </w:tc>
        <w:tc>
          <w:tcPr>
            <w:tcW w:w="3288" w:type="dxa"/>
          </w:tcPr>
          <w:p w14:paraId="185EA1D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灰色短毛猫</w:t>
            </w:r>
          </w:p>
        </w:tc>
        <w:tc>
          <w:tcPr>
            <w:tcW w:w="1247" w:type="dxa"/>
          </w:tcPr>
          <w:p w14:paraId="15002927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 w14:paraId="4CDC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2F63BC00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Beagle 与 Basset Hound</w:t>
            </w:r>
          </w:p>
        </w:tc>
        <w:tc>
          <w:tcPr>
            <w:tcW w:w="3288" w:type="dxa"/>
          </w:tcPr>
          <w:p w14:paraId="54E2F74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垂耳猎犬，配色相近</w:t>
            </w:r>
          </w:p>
        </w:tc>
        <w:tc>
          <w:tcPr>
            <w:tcW w:w="1247" w:type="dxa"/>
          </w:tcPr>
          <w:p w14:paraId="50A10474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 w14:paraId="54BC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B3AC075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American Pit Bull 与 Miniature Pinscher</w:t>
            </w:r>
          </w:p>
        </w:tc>
        <w:tc>
          <w:tcPr>
            <w:tcW w:w="3288" w:type="dxa"/>
          </w:tcPr>
          <w:p w14:paraId="18D36AF8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小型短毛犬</w:t>
            </w:r>
          </w:p>
        </w:tc>
        <w:tc>
          <w:tcPr>
            <w:tcW w:w="1247" w:type="dxa"/>
          </w:tcPr>
          <w:p w14:paraId="780A26B2">
            <w:pPr>
              <w:keepNext/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</w:tbl>
    <w:p w14:paraId="0615EA7B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表 4：最易混淆的类别对（Top-5，来自图 2）</w:t>
      </w:r>
    </w:p>
    <w:p w14:paraId="29F21E98">
      <w:pPr>
        <w:spacing w:before="60" w:after="40"/>
      </w:pPr>
      <w:r>
        <w:rPr>
          <w:rFonts w:ascii="黑体" w:hAnsi="黑体" w:eastAsia="黑体"/>
          <w:b/>
          <w:sz w:val="21"/>
        </w:rPr>
        <w:t>3.2 Grad-CAM 特征可视化</w:t>
      </w:r>
    </w:p>
    <w:p w14:paraId="0947B01C">
      <w:pPr>
        <w:spacing w:after="40" w:line="276" w:lineRule="auto"/>
        <w:ind w:firstLine="400"/>
      </w:pPr>
      <w:r>
        <w:rPr>
          <w:rFonts w:ascii="宋体" w:hAnsi="宋体" w:eastAsia="宋体"/>
          <w:sz w:val="20"/>
        </w:rPr>
        <w:t>Grad-CAM 通过梯度加权类激活映射定位模型决策时重点关注的特征区域。正确样本（上排）：真实与预测均为 English Setter，置信度约 0.89，热力图集中于躯干区域，说明模型主要依据整体体型与斑纹作出正确判断。</w:t>
      </w:r>
    </w:p>
    <w:p w14:paraId="60027CDB">
      <w:pPr>
        <w:spacing w:after="40" w:line="276" w:lineRule="auto"/>
        <w:ind w:firstLine="400"/>
      </w:pPr>
      <w:r>
        <w:rPr>
          <w:rFonts w:ascii="宋体" w:hAnsi="宋体" w:eastAsia="宋体"/>
          <w:sz w:val="20"/>
        </w:rPr>
        <w:t>错误样本（下排）：真实标签 Bengal 被误判为 Egyptian Mau，置信度仅约 0.38。热力图分布分散，未聚焦到头部花纹、耳型等关键判别特征，导致混淆——与表 4 中 Bengal 与 Egyptian Mau 的混淆现象相互印证。</w:t>
      </w:r>
    </w:p>
    <w:p w14:paraId="5FE1415A">
      <w:pPr>
        <w:spacing w:after="0"/>
        <w:jc w:val="center"/>
      </w:pPr>
      <w:r>
        <w:drawing>
          <wp:inline distT="0" distB="0" distL="114300" distR="114300">
            <wp:extent cx="2087880" cy="20878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2379">
      <w:pPr>
        <w:spacing w:before="20" w:after="100"/>
        <w:jc w:val="center"/>
      </w:pPr>
      <w:r>
        <w:rPr>
          <w:rFonts w:ascii="宋体" w:hAnsi="宋体" w:eastAsia="宋体"/>
          <w:color w:val="595959"/>
          <w:sz w:val="18"/>
        </w:rPr>
        <w:t>图 3：Grad-CAM 热力图（上：预测正确 English Setter；下：预测错误 Bengal → Egyptian Mau）</w:t>
      </w:r>
    </w:p>
    <w:p w14:paraId="115486A7">
      <w:pPr>
        <w:spacing w:before="100" w:after="60"/>
      </w:pPr>
      <w:r>
        <w:rPr>
          <w:rFonts w:ascii="黑体" w:hAnsi="黑体" w:eastAsia="黑体"/>
          <w:b/>
          <w:color w:val="1F3B63"/>
          <w:sz w:val="24"/>
        </w:rPr>
        <w:t>4. AI 辅助编程声明与 Bug 复盘</w:t>
      </w:r>
    </w:p>
    <w:p w14:paraId="69424D0F">
      <w:pPr>
        <w:spacing w:before="60" w:after="40"/>
      </w:pPr>
      <w:r>
        <w:rPr>
          <w:rFonts w:ascii="黑体" w:hAnsi="黑体" w:eastAsia="黑体"/>
          <w:b/>
          <w:sz w:val="21"/>
        </w:rPr>
        <w:t>4.1 AI 辅助使用声明</w:t>
      </w:r>
    </w:p>
    <w:p w14:paraId="224A854F">
      <w:pPr>
        <w:spacing w:after="40" w:line="276" w:lineRule="auto"/>
      </w:pPr>
      <w:r>
        <w:rPr>
          <w:rFonts w:ascii="宋体" w:hAnsi="宋体" w:eastAsia="宋体"/>
          <w:sz w:val="20"/>
        </w:rPr>
        <w:t>本实验在以下环节使用 AI 工具辅助：复用 Day1 基线代码；在 AI 指导下完成 Label Smoothing 损失替换、TensorBoard 日志、混淆矩阵与 Grad-CAM 可视化。AI 代码均在理解原理后手动录入并调试，指标以实际运行结果为准。</w:t>
      </w:r>
    </w:p>
    <w:p w14:paraId="2F2A27C9">
      <w:pPr>
        <w:spacing w:before="60" w:after="40"/>
      </w:pPr>
      <w:r>
        <w:rPr>
          <w:rFonts w:ascii="黑体" w:hAnsi="黑体" w:eastAsia="黑体"/>
          <w:b/>
          <w:sz w:val="21"/>
        </w:rPr>
        <w:t>4.2 Bug 复盘：Grad-CAM 张量转换报错</w:t>
      </w:r>
    </w:p>
    <w:p w14:paraId="4C2B905B">
      <w:pPr>
        <w:spacing w:after="40" w:line="276" w:lineRule="auto"/>
        <w:ind w:firstLine="400"/>
      </w:pPr>
      <w:r>
        <w:rPr>
          <w:rFonts w:ascii="宋体" w:hAnsi="宋体" w:eastAsia="宋体"/>
          <w:sz w:val="20"/>
        </w:rPr>
        <w:t>问题现象与原因：运行 Grad-CAM 脚本时在张量转 numpy 处报错：RuntimeError: Can't call numpy() on Tensor that requires grad，原因是 requires_grad=True 的张量属于计算图一部分，直接转换会被禁止。</w:t>
      </w:r>
    </w:p>
    <w:p w14:paraId="2CF2CC34">
      <w:pPr>
        <w:spacing w:after="40" w:line="276" w:lineRule="auto"/>
        <w:ind w:firstLine="400"/>
      </w:pPr>
      <w:r>
        <w:rPr>
          <w:rFonts w:ascii="宋体" w:hAnsi="宋体" w:eastAsia="宋体"/>
          <w:sz w:val="20"/>
        </w:rPr>
        <w:t>修复方法：转换前先调用 detach()（如 act_map.cpu().detach().numpy()）将张量从计算图分离，问题解决。</w:t>
      </w:r>
    </w:p>
    <w:p w14:paraId="13DE1D71">
      <w:pPr>
        <w:spacing w:after="40" w:line="276" w:lineRule="auto"/>
        <w:ind w:firstLine="400"/>
      </w:pPr>
      <w:r>
        <w:rPr>
          <w:rFonts w:ascii="宋体" w:hAnsi="宋体" w:eastAsia="宋体"/>
          <w:sz w:val="20"/>
        </w:rPr>
        <w:t>经验收获：加深了对 PyTorch 自动求导机制（计算图、requires_grad）的理解，也认识到 AI 代码并非总是可直接运行，逐段验证与理解原理是关键。</w:t>
      </w:r>
    </w:p>
    <w:sectPr>
      <w:footerReference r:id="rId7" w:type="first"/>
      <w:headerReference r:id="rId5" w:type="default"/>
      <w:footerReference r:id="rId6" w:type="default"/>
      <w:pgSz w:w="12240" w:h="15840"/>
      <w:pgMar w:top="1134" w:right="1247" w:bottom="113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D64E2">
    <w:pPr>
      <w:pStyle w:val="24"/>
      <w:jc w:val="center"/>
    </w:pPr>
    <w:r>
      <w:rPr>
        <w:rFonts w:ascii="微软雅黑" w:hAnsi="微软雅黑" w:eastAsia="微软雅黑"/>
        <w:color w:val="595959"/>
        <w:sz w:val="16"/>
      </w:rPr>
      <w:t xml:space="preserve">- </w:t>
    </w:r>
    <w:r>
      <w:rPr>
        <w:rFonts w:ascii="微软雅黑" w:hAnsi="微软雅黑" w:eastAsia="微软雅黑"/>
        <w:color w:val="595959"/>
        <w:sz w:val="16"/>
      </w:rPr>
      <w:fldChar w:fldCharType="begin"/>
    </w:r>
    <w:r>
      <w:rPr>
        <w:rFonts w:ascii="微软雅黑" w:hAnsi="微软雅黑" w:eastAsia="微软雅黑"/>
        <w:color w:val="595959"/>
        <w:sz w:val="16"/>
      </w:rPr>
      <w:instrText xml:space="preserve">PAGE</w:instrText>
    </w:r>
    <w:r>
      <w:rPr>
        <w:rFonts w:ascii="微软雅黑" w:hAnsi="微软雅黑" w:eastAsia="微软雅黑"/>
        <w:color w:val="595959"/>
        <w:sz w:val="16"/>
      </w:rPr>
      <w:fldChar w:fldCharType="end"/>
    </w:r>
    <w:r>
      <w:rPr>
        <w:rFonts w:ascii="微软雅黑" w:hAnsi="微软雅黑" w:eastAsia="微软雅黑"/>
        <w:color w:val="595959"/>
        <w:sz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A0552">
    <w:pPr>
      <w:pStyle w:val="24"/>
      <w:jc w:val="center"/>
    </w:pPr>
    <w:r>
      <w:rPr>
        <w:rFonts w:ascii="微软雅黑" w:hAnsi="微软雅黑" w:eastAsia="微软雅黑"/>
        <w:color w:val="595959"/>
        <w:sz w:val="16"/>
      </w:rPr>
      <w:t xml:space="preserve">- </w:t>
    </w:r>
    <w:r>
      <w:rPr>
        <w:rFonts w:ascii="微软雅黑" w:hAnsi="微软雅黑" w:eastAsia="微软雅黑"/>
        <w:color w:val="595959"/>
        <w:sz w:val="16"/>
      </w:rPr>
      <w:fldChar w:fldCharType="begin"/>
    </w:r>
    <w:r>
      <w:rPr>
        <w:rFonts w:ascii="微软雅黑" w:hAnsi="微软雅黑" w:eastAsia="微软雅黑"/>
        <w:color w:val="595959"/>
        <w:sz w:val="16"/>
      </w:rPr>
      <w:instrText xml:space="preserve">PAGE</w:instrText>
    </w:r>
    <w:r>
      <w:rPr>
        <w:rFonts w:ascii="微软雅黑" w:hAnsi="微软雅黑" w:eastAsia="微软雅黑"/>
        <w:color w:val="595959"/>
        <w:sz w:val="16"/>
      </w:rPr>
      <w:fldChar w:fldCharType="end"/>
    </w:r>
    <w:r>
      <w:rPr>
        <w:rFonts w:ascii="微软雅黑" w:hAnsi="微软雅黑" w:eastAsia="微软雅黑"/>
        <w:color w:val="595959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F51B1">
    <w:pPr>
      <w:pStyle w:val="25"/>
      <w:jc w:val="center"/>
    </w:pPr>
    <w:r>
      <w:rPr>
        <w:rFonts w:ascii="微软雅黑" w:hAnsi="微软雅黑" w:eastAsia="微软雅黑"/>
        <w:color w:val="595959"/>
        <w:sz w:val="16"/>
      </w:rPr>
      <w:t>基于深度学习的牛津宠物细粒度分类实验报告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19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1040</Words>
  <Characters>1711</Characters>
  <Lines>0</Lines>
  <Paragraphs>0</Paragraphs>
  <TotalTime>0</TotalTime>
  <ScaleCrop>false</ScaleCrop>
  <LinksUpToDate>false</LinksUpToDate>
  <CharactersWithSpaces>1852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不逢春</cp:lastModifiedBy>
  <dcterms:modified xsi:type="dcterms:W3CDTF">2026-09-18T03:16:15Z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eyJoZGlkIjoiZWFlZWQzOWEwMTVmYmVlNGRjYjA2MTYxNzZiNzA5MDgiLCJ1c2VySWQiOiIxNjQ0Mjc5MDc3In0=</vt:lpwstr>
  </property>
  <property fmtid="{D5CDD505-2E9C-101B-9397-08002B2CF9AE}" pid="3" name="KSOProductBuildVer">
    <vt:lpwstr>2052-12.1.0.28505</vt:lpwstr>
  </property>
  <property fmtid="{D5CDD505-2E9C-101B-9397-08002B2CF9AE}" pid="4" name="ICV">
    <vt:lpwstr>A1EA968B92ED450C845A02F679BC026D_12</vt:lpwstr>
  </property>
</Properties>
</file>