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楷体" w:hAnsi="楷体" w:eastAsia="楷体" w:cs="楷体"/>
          <w:sz w:val="72"/>
          <w:szCs w:val="144"/>
          <w:lang w:eastAsia="zh-CN"/>
        </w:rPr>
      </w:pPr>
      <w:bookmarkStart w:id="0" w:name="_GoBack"/>
      <w:r>
        <w:rPr>
          <w:rFonts w:hint="eastAsia" w:ascii="楷体" w:hAnsi="楷体" w:eastAsia="楷体" w:cs="楷体"/>
          <w:sz w:val="72"/>
          <w:szCs w:val="144"/>
          <w:lang w:eastAsia="zh-CN"/>
        </w:rPr>
        <w:t>《</w:t>
      </w:r>
      <w:r>
        <w:rPr>
          <w:rFonts w:hint="eastAsia" w:ascii="楷体" w:hAnsi="楷体" w:eastAsia="楷体" w:cs="楷体"/>
          <w:sz w:val="72"/>
          <w:szCs w:val="144"/>
          <w:lang w:val="en-US" w:eastAsia="zh-CN"/>
        </w:rPr>
        <w:t>渔夫</w:t>
      </w:r>
      <w:r>
        <w:rPr>
          <w:rFonts w:hint="eastAsia" w:ascii="楷体" w:hAnsi="楷体" w:eastAsia="楷体" w:cs="楷体"/>
          <w:sz w:val="72"/>
          <w:szCs w:val="144"/>
          <w:lang w:eastAsia="zh-CN"/>
        </w:rPr>
        <w:t>》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440" w:firstLineChars="200"/>
        <w:textAlignment w:val="auto"/>
        <w:rPr>
          <w:rFonts w:hint="eastAsia" w:ascii="楷体" w:hAnsi="楷体" w:eastAsia="楷体" w:cs="楷体"/>
          <w:sz w:val="72"/>
          <w:szCs w:val="144"/>
        </w:rPr>
      </w:pPr>
      <w:r>
        <w:rPr>
          <w:rFonts w:hint="eastAsia" w:ascii="楷体" w:hAnsi="楷体" w:eastAsia="楷体" w:cs="楷体"/>
          <w:sz w:val="72"/>
          <w:szCs w:val="144"/>
        </w:rPr>
        <w:t>屈原既放，游于江潭，行吟泽畔，颜色憔悴，形容枯槁。渔父见而问之曰：子非三闾大夫与？何故至于斯？屈原曰：举世皆浊我独清，众人皆醉我独醒，是以见放。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440" w:firstLineChars="200"/>
        <w:textAlignment w:val="auto"/>
        <w:rPr>
          <w:rFonts w:hint="eastAsia" w:ascii="楷体" w:hAnsi="楷体" w:eastAsia="楷体" w:cs="楷体"/>
          <w:sz w:val="72"/>
          <w:szCs w:val="144"/>
        </w:rPr>
      </w:pPr>
      <w:r>
        <w:rPr>
          <w:rFonts w:hint="eastAsia" w:ascii="楷体" w:hAnsi="楷体" w:eastAsia="楷体" w:cs="楷体"/>
          <w:sz w:val="72"/>
          <w:szCs w:val="144"/>
        </w:rPr>
        <w:t>渔父曰：圣人不凝滞于物，而能与世推移。世人皆浊，何不淈其泥而扬其波？众人皆醉，何不餔其糟而歠其醨？何故深思高举，自令放为？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440" w:firstLineChars="200"/>
        <w:textAlignment w:val="auto"/>
        <w:rPr>
          <w:rFonts w:hint="eastAsia" w:ascii="楷体" w:hAnsi="楷体" w:eastAsia="楷体" w:cs="楷体"/>
          <w:sz w:val="72"/>
          <w:szCs w:val="144"/>
        </w:rPr>
      </w:pPr>
      <w:r>
        <w:rPr>
          <w:rFonts w:hint="eastAsia" w:ascii="楷体" w:hAnsi="楷体" w:eastAsia="楷体" w:cs="楷体"/>
          <w:sz w:val="72"/>
          <w:szCs w:val="144"/>
        </w:rPr>
        <w:t>屈原曰：吾闻之，新沐者必弹冠，新浴者必振衣。安能以身之察察，受物之汶汶乎？宁赴湘流，葬于江鱼之腹中，安能以皓皓之白，而蒙世俗之尘埃乎？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440" w:firstLineChars="200"/>
        <w:textAlignment w:val="auto"/>
        <w:rPr>
          <w:rFonts w:hint="eastAsia" w:ascii="楷体" w:hAnsi="楷体" w:eastAsia="楷体" w:cs="楷体"/>
          <w:sz w:val="72"/>
          <w:szCs w:val="144"/>
        </w:rPr>
      </w:pPr>
      <w:r>
        <w:rPr>
          <w:rFonts w:hint="eastAsia" w:ascii="楷体" w:hAnsi="楷体" w:eastAsia="楷体" w:cs="楷体"/>
          <w:sz w:val="72"/>
          <w:szCs w:val="144"/>
        </w:rPr>
        <w:t>渔父莞尔而笑，鼓枻而去。歌曰：沧浪之水清兮，可以濯吾缨；沧浪之水浊兮，可以濯吾足。遂去，不复与言。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440" w:firstLineChars="200"/>
        <w:textAlignment w:val="auto"/>
        <w:rPr>
          <w:rFonts w:hint="eastAsia" w:ascii="楷体" w:hAnsi="楷体" w:eastAsia="楷体" w:cs="楷体"/>
          <w:sz w:val="72"/>
          <w:szCs w:val="1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315F8"/>
    <w:rsid w:val="151F165F"/>
    <w:rsid w:val="2E31550F"/>
    <w:rsid w:val="3C6F2DAF"/>
    <w:rsid w:val="445D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2020-06-28T07:45:23Z</dcterms:created>
  <dc:creator>18725</dc:creator>
  <cp:lastModifiedBy>Cheng</cp:lastModifiedBy>
  <dcterms:modified xsi:type="dcterms:W3CDTF">2020-06-28T07:49:31Z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