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>СМОЛЯНИНОВ ЮРИЙ АЛЕКСАНДРОВИЧ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408A95AA" w14:textId="77777777" w:rsid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>ОНЛАЙН СЕРВИСА ДЛЯ ПОКУПКИ</w:t>
      </w:r>
    </w:p>
    <w:p w14:paraId="567E06FC" w14:textId="4A396A1C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БИЛЕТА НА АВИРЕЙС</w:t>
      </w:r>
      <w:r w:rsidR="004B739C">
        <w:rPr>
          <w:rFonts w:eastAsia="Times New Roman" w:cs="Times New Roman"/>
          <w:bCs/>
          <w:szCs w:val="28"/>
          <w:lang w:eastAsia="ru-RU"/>
        </w:rPr>
        <w:t xml:space="preserve"> И МЕНЕДЖМЕНТА</w:t>
      </w:r>
      <w:r w:rsidR="001E52B7">
        <w:rPr>
          <w:rFonts w:eastAsia="Times New Roman" w:cs="Times New Roman"/>
          <w:bCs/>
          <w:szCs w:val="28"/>
          <w:lang w:eastAsia="ru-RU"/>
        </w:rPr>
        <w:t xml:space="preserve"> АЭРОПОРТОМ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Ю.А. Смолянинов</w:t>
            </w:r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к.т.н</w:t>
            </w:r>
            <w:proofErr w:type="spellEnd"/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62B214B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lang w:val="ru" w:eastAsia="ru-RU"/>
        </w:rPr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sdt>
      <w:sdtPr>
        <w:id w:val="-9852333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CC109AC" w14:textId="42C8A457" w:rsidR="00D30760" w:rsidRDefault="00D307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62234" w:history="1">
            <w:r w:rsidRPr="00A83395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26557978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062234"/>
      <w:r>
        <w:lastRenderedPageBreak/>
        <w:t>Введение</w:t>
      </w:r>
      <w:bookmarkEnd w:id="0"/>
    </w:p>
    <w:p w14:paraId="0BD196BF" w14:textId="31A98BB1" w:rsidR="0077330F" w:rsidRDefault="0077330F">
      <w:r>
        <w:t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покупку билетов и менеджмент самолетов. Исходя из малого количества работников аэропорта, было предпринято решение объединить эти два процесса в одном онлайн-сервисе.</w:t>
      </w:r>
    </w:p>
    <w:p w14:paraId="6F076070" w14:textId="2B1BCAC4" w:rsidR="00D30760" w:rsidRDefault="004B739C">
      <w:r>
        <w:t>Онлайн</w:t>
      </w:r>
      <w:r w:rsidR="0077330F">
        <w:t>-</w:t>
      </w:r>
      <w:r>
        <w:t>сервис для покупки билетов на ави</w:t>
      </w:r>
      <w:r w:rsidR="0077330F">
        <w:t>а</w:t>
      </w:r>
      <w:r>
        <w:t>рейс</w:t>
      </w:r>
      <w:r w:rsidR="0077330F">
        <w:t xml:space="preserve"> и менеджмента аэропортом предоставляет удобные, быстрые, а главное автоматизированные возможности для покупки билетов и отслеживания состояния самолетов, принадлежащих аэропорту.</w:t>
      </w:r>
    </w:p>
    <w:p w14:paraId="41A5755E" w14:textId="4A72F0A4" w:rsidR="0077330F" w:rsidRDefault="00872D32">
      <w:r>
        <w:t>Цели создания онлайн-сервиса:</w:t>
      </w:r>
    </w:p>
    <w:p w14:paraId="36869B05" w14:textId="2B919160" w:rsidR="001875CE" w:rsidRDefault="001875C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82E79F" w14:textId="740DC16C" w:rsidR="00872D32" w:rsidRDefault="001875CE" w:rsidP="00CF4BC7">
      <w:pPr>
        <w:pStyle w:val="1"/>
      </w:pPr>
      <w:r>
        <w:rPr>
          <w:lang w:val="en-US"/>
        </w:rPr>
        <w:lastRenderedPageBreak/>
        <w:t>1</w:t>
      </w:r>
      <w:r>
        <w:t>. Проектирование онлайн-сервиса</w:t>
      </w:r>
    </w:p>
    <w:p w14:paraId="4EC23941" w14:textId="0C1B578C" w:rsidR="001875CE" w:rsidRDefault="001875CE"/>
    <w:p w14:paraId="0FFA3CAD" w14:textId="4754B6E3" w:rsidR="001875CE" w:rsidRDefault="001875CE" w:rsidP="00CF4BC7">
      <w:pPr>
        <w:pStyle w:val="2"/>
      </w:pPr>
      <w:r>
        <w:t>1.1 Описание предметной области</w:t>
      </w:r>
    </w:p>
    <w:p w14:paraId="17F8FDA8" w14:textId="350107ED" w:rsidR="001875CE" w:rsidRDefault="00EF79A6">
      <w:r>
        <w:t>Онлайн-сервис продает билеты на авиарейсы в населенные пункты России, а также позволяет обслуживающим бригадам просматривать самолеты, принадлежащие аэропорту, и отслеживать их состояние. Покупка билетов и отслеживание состояний самолета происходит онлайн и в любое время суток.</w:t>
      </w:r>
    </w:p>
    <w:p w14:paraId="0399E8F1" w14:textId="35674897" w:rsidR="00EF79A6" w:rsidRDefault="002A4114">
      <w:r>
        <w:t xml:space="preserve">Услугами онлайн-сервиса пользуются пассажиры и работники обслуживающих бригад. Администратор онлайн-сервиса, он же по совместительству директор аэропорта, является ответственным </w:t>
      </w:r>
      <w:r w:rsidR="00554F99">
        <w:t>за хранение</w:t>
      </w:r>
      <w:r>
        <w:t xml:space="preserve"> и актуализацию данных о самолетах и пассажиров.</w:t>
      </w:r>
    </w:p>
    <w:p w14:paraId="7FBDAE25" w14:textId="30C13419" w:rsidR="001875CE" w:rsidRDefault="007A2054" w:rsidP="00C8138A">
      <w:r>
        <w:t>Для осуществления покупки в онлайн-сервисе пассажиру необходимо предоставить личные данные (ФИО, серию и номер паспорта)</w:t>
      </w:r>
      <w:r w:rsidR="00C8138A">
        <w:t>.</w:t>
      </w:r>
      <w:r w:rsidR="00F371B2">
        <w:t xml:space="preserve"> Пассажир может купить один или несколько билетов на выбранный, доступный рейс.</w:t>
      </w:r>
      <w:r w:rsidR="00AA370C">
        <w:t xml:space="preserve"> Также пассажир может актуализировать свои данные.</w:t>
      </w:r>
      <w:r w:rsidR="009517BF">
        <w:t xml:space="preserve"> Администратор может удалить данные пассажира.</w:t>
      </w:r>
    </w:p>
    <w:p w14:paraId="7EF86CA8" w14:textId="1B6D7779" w:rsidR="00B15BD4" w:rsidRDefault="00B15BD4" w:rsidP="00C8138A"/>
    <w:p w14:paraId="518D1BF9" w14:textId="0ACDC3EE" w:rsidR="00B15BD4" w:rsidRDefault="00B15BD4" w:rsidP="00D324BB">
      <w:pPr>
        <w:pStyle w:val="2"/>
      </w:pPr>
      <w:r>
        <w:t>1.2 Исследование метод персонажа</w:t>
      </w:r>
    </w:p>
    <w:p w14:paraId="12E24B45" w14:textId="1C506324" w:rsidR="000644B8" w:rsidRPr="000644B8" w:rsidRDefault="00E93139" w:rsidP="000644B8">
      <w:r w:rsidRPr="00E93139">
        <w:rPr>
          <w:spacing w:val="100"/>
        </w:rPr>
        <w:t>Таблица</w:t>
      </w:r>
      <w:r>
        <w:t xml:space="preserve"> 1 – метод персонажа.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2EC0" w14:paraId="4A16852B" w14:textId="77777777" w:rsidTr="00F12EC0">
        <w:trPr>
          <w:tblHeader/>
        </w:trPr>
        <w:tc>
          <w:tcPr>
            <w:tcW w:w="3115" w:type="dxa"/>
          </w:tcPr>
          <w:p w14:paraId="66D09AC7" w14:textId="50E115B7" w:rsidR="00F12EC0" w:rsidRPr="00F12EC0" w:rsidRDefault="00F12EC0" w:rsidP="00C8138A">
            <w:pPr>
              <w:ind w:firstLine="0"/>
              <w:rPr>
                <w:b/>
                <w:bCs/>
              </w:rPr>
            </w:pPr>
            <w:r w:rsidRPr="00F12EC0">
              <w:rPr>
                <w:b/>
                <w:bCs/>
              </w:rPr>
              <w:t>Бригадир, работающий с самолетами</w:t>
            </w:r>
          </w:p>
        </w:tc>
        <w:tc>
          <w:tcPr>
            <w:tcW w:w="3115" w:type="dxa"/>
          </w:tcPr>
          <w:p w14:paraId="6BCEB5CF" w14:textId="60558E6C" w:rsidR="00F12EC0" w:rsidRPr="00F12EC0" w:rsidRDefault="00F12EC0" w:rsidP="00C8138A">
            <w:pPr>
              <w:ind w:firstLine="0"/>
              <w:rPr>
                <w:b/>
                <w:bCs/>
              </w:rPr>
            </w:pPr>
            <w:r w:rsidRPr="00F12EC0">
              <w:rPr>
                <w:b/>
                <w:bCs/>
              </w:rPr>
              <w:t>Директор аэропорта</w:t>
            </w:r>
          </w:p>
        </w:tc>
        <w:tc>
          <w:tcPr>
            <w:tcW w:w="3115" w:type="dxa"/>
          </w:tcPr>
          <w:p w14:paraId="7421A727" w14:textId="7D457463" w:rsidR="00F12EC0" w:rsidRPr="00F12EC0" w:rsidRDefault="00F12EC0" w:rsidP="00F12EC0">
            <w:pPr>
              <w:ind w:firstLine="0"/>
              <w:rPr>
                <w:b/>
                <w:bCs/>
              </w:rPr>
            </w:pPr>
            <w:r w:rsidRPr="00F12EC0">
              <w:rPr>
                <w:b/>
                <w:bCs/>
              </w:rPr>
              <w:t>Пассажир, направляющий в «Путино»</w:t>
            </w:r>
          </w:p>
        </w:tc>
      </w:tr>
      <w:tr w:rsidR="00F12EC0" w14:paraId="51514950" w14:textId="77777777" w:rsidTr="00F12EC0">
        <w:tc>
          <w:tcPr>
            <w:tcW w:w="3115" w:type="dxa"/>
          </w:tcPr>
          <w:p w14:paraId="5C274464" w14:textId="7DD0ECDA" w:rsidR="00F12EC0" w:rsidRDefault="00F12EC0" w:rsidP="00B37387">
            <w:pPr>
              <w:ind w:firstLine="0"/>
              <w:jc w:val="left"/>
            </w:pPr>
            <w:r w:rsidRPr="00F12EC0">
              <w:rPr>
                <w:b/>
                <w:bCs/>
              </w:rPr>
              <w:t>Характеристика</w:t>
            </w:r>
            <w:r>
              <w:t>: 35 лет, мужчина, высшее техническое образование</w:t>
            </w:r>
          </w:p>
          <w:p w14:paraId="739E93A2" w14:textId="77777777" w:rsidR="00F12EC0" w:rsidRDefault="00F12EC0" w:rsidP="00B37387">
            <w:pPr>
              <w:ind w:firstLine="0"/>
              <w:jc w:val="left"/>
            </w:pPr>
          </w:p>
          <w:p w14:paraId="73EDB112" w14:textId="36F5C0B4" w:rsidR="00F12EC0" w:rsidRDefault="00F12EC0" w:rsidP="00B37387">
            <w:pPr>
              <w:ind w:firstLine="0"/>
              <w:jc w:val="left"/>
            </w:pPr>
            <w:r w:rsidRPr="00F12EC0">
              <w:rPr>
                <w:b/>
                <w:bCs/>
              </w:rPr>
              <w:lastRenderedPageBreak/>
              <w:t>Что делает?</w:t>
            </w:r>
            <w:r>
              <w:t xml:space="preserve"> Следит за состоянием доверенных ему самолетов</w:t>
            </w:r>
            <w:r w:rsidR="00B37387">
              <w:t>. В случае неисправностей производит ремонт самолетов.</w:t>
            </w:r>
          </w:p>
          <w:p w14:paraId="50D2F905" w14:textId="77777777" w:rsidR="00F12EC0" w:rsidRDefault="00F12EC0" w:rsidP="00B37387">
            <w:pPr>
              <w:ind w:firstLine="0"/>
              <w:jc w:val="left"/>
            </w:pPr>
          </w:p>
          <w:p w14:paraId="5CFFA227" w14:textId="79A01A73" w:rsidR="00F12EC0" w:rsidRDefault="00F12EC0" w:rsidP="00B37387">
            <w:pPr>
              <w:ind w:firstLine="0"/>
              <w:jc w:val="left"/>
            </w:pPr>
            <w:r w:rsidRPr="00B37387">
              <w:rPr>
                <w:b/>
                <w:bCs/>
              </w:rPr>
              <w:t>Важно:</w:t>
            </w:r>
            <w:r>
              <w:t xml:space="preserve"> </w:t>
            </w:r>
            <w:r w:rsidR="00B37387">
              <w:t>быстро находить информацию о состояниях доверенных ему самолетов</w:t>
            </w:r>
          </w:p>
        </w:tc>
        <w:tc>
          <w:tcPr>
            <w:tcW w:w="3115" w:type="dxa"/>
          </w:tcPr>
          <w:p w14:paraId="55FCA2B6" w14:textId="7E171769" w:rsidR="00F12EC0" w:rsidRDefault="00324A22" w:rsidP="00C8138A">
            <w:pPr>
              <w:ind w:firstLine="0"/>
            </w:pPr>
            <w:r>
              <w:lastRenderedPageBreak/>
              <w:t xml:space="preserve">Характеристика: </w:t>
            </w:r>
          </w:p>
        </w:tc>
        <w:tc>
          <w:tcPr>
            <w:tcW w:w="3115" w:type="dxa"/>
          </w:tcPr>
          <w:p w14:paraId="57FAF336" w14:textId="77777777" w:rsidR="00F12EC0" w:rsidRDefault="00F12EC0" w:rsidP="00C8138A">
            <w:pPr>
              <w:ind w:firstLine="0"/>
            </w:pPr>
          </w:p>
        </w:tc>
      </w:tr>
    </w:tbl>
    <w:p w14:paraId="1B02B471" w14:textId="77777777" w:rsidR="00B15BD4" w:rsidRDefault="00B15BD4" w:rsidP="00C8138A"/>
    <w:p w14:paraId="46E51A30" w14:textId="77777777" w:rsidR="00B15BD4" w:rsidRPr="001875CE" w:rsidRDefault="00B15BD4" w:rsidP="00C8138A"/>
    <w:sectPr w:rsidR="00B15BD4" w:rsidRPr="001875CE" w:rsidSect="003F659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3F67" w14:textId="77777777" w:rsidR="001847B2" w:rsidRDefault="001847B2" w:rsidP="003F6596">
      <w:pPr>
        <w:spacing w:line="240" w:lineRule="auto"/>
      </w:pPr>
      <w:r>
        <w:separator/>
      </w:r>
    </w:p>
  </w:endnote>
  <w:endnote w:type="continuationSeparator" w:id="0">
    <w:p w14:paraId="2713BF1A" w14:textId="77777777" w:rsidR="001847B2" w:rsidRDefault="001847B2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9269885"/>
      <w:docPartObj>
        <w:docPartGallery w:val="Page Numbers (Bottom of Page)"/>
        <w:docPartUnique/>
      </w:docPartObj>
    </w:sdtPr>
    <w:sdtContent>
      <w:p w14:paraId="30C267C6" w14:textId="70285CD3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0CCC" w14:textId="77777777" w:rsidR="001847B2" w:rsidRDefault="001847B2" w:rsidP="003F6596">
      <w:pPr>
        <w:spacing w:line="240" w:lineRule="auto"/>
      </w:pPr>
      <w:r>
        <w:separator/>
      </w:r>
    </w:p>
  </w:footnote>
  <w:footnote w:type="continuationSeparator" w:id="0">
    <w:p w14:paraId="3E6E045D" w14:textId="77777777" w:rsidR="001847B2" w:rsidRDefault="001847B2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46"/>
    <w:rsid w:val="000644B8"/>
    <w:rsid w:val="001847B2"/>
    <w:rsid w:val="001875CE"/>
    <w:rsid w:val="001E52B7"/>
    <w:rsid w:val="002A4114"/>
    <w:rsid w:val="002D4899"/>
    <w:rsid w:val="00324A22"/>
    <w:rsid w:val="003F6596"/>
    <w:rsid w:val="004B739C"/>
    <w:rsid w:val="00537346"/>
    <w:rsid w:val="00554F99"/>
    <w:rsid w:val="007352B5"/>
    <w:rsid w:val="0077330F"/>
    <w:rsid w:val="007A2054"/>
    <w:rsid w:val="00872D32"/>
    <w:rsid w:val="009517BF"/>
    <w:rsid w:val="00A211C5"/>
    <w:rsid w:val="00AA370C"/>
    <w:rsid w:val="00B15BD4"/>
    <w:rsid w:val="00B37387"/>
    <w:rsid w:val="00C13C09"/>
    <w:rsid w:val="00C8138A"/>
    <w:rsid w:val="00CF4BC7"/>
    <w:rsid w:val="00D30760"/>
    <w:rsid w:val="00D324BB"/>
    <w:rsid w:val="00E16E60"/>
    <w:rsid w:val="00E93139"/>
    <w:rsid w:val="00EF79A6"/>
    <w:rsid w:val="00F12EC0"/>
    <w:rsid w:val="00F27FCF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661F-94B5-4DD3-9465-2AECD7AD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CCF2P</cp:lastModifiedBy>
  <cp:revision>26</cp:revision>
  <dcterms:created xsi:type="dcterms:W3CDTF">2024-01-13T08:09:00Z</dcterms:created>
  <dcterms:modified xsi:type="dcterms:W3CDTF">2024-01-13T09:21:00Z</dcterms:modified>
</cp:coreProperties>
</file>