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F96A" w14:textId="3C4ED72A" w:rsidR="7FC79DB3" w:rsidRDefault="7FC79DB3" w:rsidP="7A76925E">
      <w:pPr>
        <w:spacing w:line="240" w:lineRule="auto"/>
        <w:rPr>
          <w:rFonts w:ascii="Arial" w:eastAsia="Arial" w:hAnsi="Arial" w:cs="Arial"/>
          <w:color w:val="3A343A"/>
          <w:sz w:val="48"/>
          <w:szCs w:val="48"/>
        </w:rPr>
      </w:pPr>
      <w:r w:rsidRPr="7A76925E">
        <w:rPr>
          <w:rFonts w:ascii="Arial" w:eastAsia="Arial" w:hAnsi="Arial" w:cs="Arial"/>
          <w:b/>
          <w:bCs/>
          <w:color w:val="3A343A"/>
          <w:sz w:val="48"/>
          <w:szCs w:val="48"/>
        </w:rPr>
        <w:t xml:space="preserve">Exercise I </w:t>
      </w:r>
    </w:p>
    <w:p w14:paraId="665C7F02" w14:textId="3DB77D5C" w:rsidR="7FC79DB3" w:rsidRPr="00845E96" w:rsidRDefault="7FC79DB3" w:rsidP="7A76925E">
      <w:pPr>
        <w:spacing w:line="240" w:lineRule="auto"/>
        <w:rPr>
          <w:rFonts w:ascii="Arial" w:eastAsia="Arial" w:hAnsi="Arial" w:cs="Arial"/>
          <w:color w:val="3A343A"/>
          <w:sz w:val="48"/>
          <w:szCs w:val="48"/>
        </w:rPr>
      </w:pPr>
      <w:r w:rsidRPr="7A76925E">
        <w:rPr>
          <w:rFonts w:ascii="Arial" w:eastAsia="Arial" w:hAnsi="Arial" w:cs="Arial"/>
          <w:b/>
          <w:bCs/>
          <w:color w:val="3A343A"/>
          <w:sz w:val="48"/>
          <w:szCs w:val="48"/>
        </w:rPr>
        <w:t>Getting started with CATE</w:t>
      </w:r>
    </w:p>
    <w:p w14:paraId="46DBD6DB" w14:textId="1CAF0DB2"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b/>
          <w:bCs/>
          <w:color w:val="3A343A"/>
          <w:sz w:val="33"/>
          <w:szCs w:val="33"/>
        </w:rPr>
        <w:t>This exercise demonstrates how to access</w:t>
      </w:r>
      <w:r w:rsidR="008013AE">
        <w:rPr>
          <w:rFonts w:ascii="Arial" w:eastAsia="Arial" w:hAnsi="Arial" w:cs="Arial"/>
          <w:b/>
          <w:bCs/>
          <w:color w:val="3A343A"/>
          <w:sz w:val="33"/>
          <w:szCs w:val="33"/>
        </w:rPr>
        <w:t xml:space="preserve"> </w:t>
      </w:r>
      <w:r w:rsidR="3703AA6D" w:rsidRPr="35F6BF1D">
        <w:rPr>
          <w:rFonts w:ascii="Arial" w:eastAsia="Arial" w:hAnsi="Arial" w:cs="Arial"/>
          <w:b/>
          <w:bCs/>
          <w:color w:val="3A343A"/>
          <w:sz w:val="33"/>
          <w:szCs w:val="33"/>
        </w:rPr>
        <w:t>CCI</w:t>
      </w:r>
      <w:r w:rsidR="36123D92" w:rsidRPr="35F6BF1D">
        <w:rPr>
          <w:rFonts w:ascii="Arial" w:eastAsia="Arial" w:hAnsi="Arial" w:cs="Arial"/>
          <w:b/>
          <w:bCs/>
          <w:color w:val="3A343A"/>
          <w:sz w:val="33"/>
          <w:szCs w:val="33"/>
        </w:rPr>
        <w:t xml:space="preserve"> </w:t>
      </w:r>
      <w:r w:rsidR="00E77A93">
        <w:rPr>
          <w:rFonts w:ascii="Arial" w:eastAsia="Arial" w:hAnsi="Arial" w:cs="Arial"/>
          <w:b/>
          <w:bCs/>
          <w:color w:val="3A343A"/>
          <w:sz w:val="33"/>
          <w:szCs w:val="33"/>
        </w:rPr>
        <w:t>data</w:t>
      </w:r>
      <w:r w:rsidR="00C72DC7">
        <w:rPr>
          <w:rFonts w:ascii="Arial" w:eastAsia="Arial" w:hAnsi="Arial" w:cs="Arial"/>
          <w:b/>
          <w:bCs/>
          <w:color w:val="3A343A"/>
          <w:sz w:val="33"/>
          <w:szCs w:val="33"/>
        </w:rPr>
        <w:t>sets</w:t>
      </w:r>
      <w:r w:rsidRPr="7A76925E">
        <w:rPr>
          <w:rFonts w:ascii="Arial" w:eastAsia="Arial" w:hAnsi="Arial" w:cs="Arial"/>
          <w:b/>
          <w:bCs/>
          <w:color w:val="3A343A"/>
          <w:sz w:val="33"/>
          <w:szCs w:val="33"/>
        </w:rPr>
        <w:t xml:space="preserve"> and perform simple visualisation and analysis operations on essential climate variables using CATE.</w:t>
      </w:r>
    </w:p>
    <w:p w14:paraId="0E338D5E" w14:textId="315E565B"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CATE provides a platform where you can access the full archive of the</w:t>
      </w:r>
      <w:r w:rsidR="00C72DC7">
        <w:rPr>
          <w:rFonts w:ascii="Arial" w:eastAsia="Arial" w:hAnsi="Arial" w:cs="Arial"/>
          <w:color w:val="3A343A"/>
          <w:sz w:val="33"/>
          <w:szCs w:val="33"/>
        </w:rPr>
        <w:t xml:space="preserve"> </w:t>
      </w:r>
      <w:hyperlink r:id="rId8" w:anchor="/dashboard">
        <w:r w:rsidRPr="7A76925E">
          <w:rPr>
            <w:rStyle w:val="Hyperlink"/>
            <w:rFonts w:ascii="Segoe UI" w:eastAsia="Segoe UI" w:hAnsi="Segoe UI" w:cs="Segoe UI"/>
            <w:sz w:val="33"/>
            <w:szCs w:val="33"/>
          </w:rPr>
          <w:t>Open Data Portal</w:t>
        </w:r>
      </w:hyperlink>
      <w:r w:rsidR="00C72DC7">
        <w:rPr>
          <w:rFonts w:ascii="Arial" w:eastAsia="Arial" w:hAnsi="Arial" w:cs="Arial"/>
          <w:color w:val="3A343A"/>
          <w:sz w:val="33"/>
          <w:szCs w:val="33"/>
        </w:rPr>
        <w:t xml:space="preserve"> </w:t>
      </w:r>
      <w:r w:rsidRPr="7A76925E">
        <w:rPr>
          <w:rFonts w:ascii="Arial" w:eastAsia="Arial" w:hAnsi="Arial" w:cs="Arial"/>
          <w:color w:val="3A343A"/>
          <w:sz w:val="33"/>
          <w:szCs w:val="33"/>
        </w:rPr>
        <w:t>and carry out visualisation and analysis operations. Let us start with accessing data.</w:t>
      </w:r>
    </w:p>
    <w:p w14:paraId="1EB05788" w14:textId="53F6C1AE" w:rsidR="7FC79DB3" w:rsidRDefault="7FC79DB3" w:rsidP="35F6BF1D">
      <w:pPr>
        <w:spacing w:beforeAutospacing="1" w:afterAutospacing="1" w:line="240" w:lineRule="auto"/>
        <w:jc w:val="both"/>
        <w:rPr>
          <w:rFonts w:ascii="Arial" w:eastAsia="Arial" w:hAnsi="Arial" w:cs="Arial"/>
          <w:color w:val="3A343A"/>
          <w:sz w:val="36"/>
          <w:szCs w:val="36"/>
        </w:rPr>
      </w:pPr>
      <w:r w:rsidRPr="7A76925E">
        <w:rPr>
          <w:rFonts w:ascii="Arial" w:eastAsia="Arial" w:hAnsi="Arial" w:cs="Arial"/>
          <w:b/>
          <w:bCs/>
          <w:color w:val="3A343A"/>
          <w:sz w:val="36"/>
          <w:szCs w:val="36"/>
        </w:rPr>
        <w:t>Data Sources</w:t>
      </w:r>
    </w:p>
    <w:p w14:paraId="76D4A39F" w14:textId="6E9EA7BE" w:rsidR="7FC79DB3"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After you have logged in to CATE, The</w:t>
      </w:r>
      <w:r w:rsidR="009773FC">
        <w:rPr>
          <w:rFonts w:ascii="Arial" w:eastAsia="Arial" w:hAnsi="Arial" w:cs="Arial"/>
          <w:color w:val="3A343A"/>
          <w:sz w:val="33"/>
          <w:szCs w:val="33"/>
        </w:rPr>
        <w:t xml:space="preserve"> </w:t>
      </w:r>
      <w:r w:rsidRPr="35F6BF1D">
        <w:rPr>
          <w:rFonts w:ascii="Courier New" w:eastAsia="Courier New" w:hAnsi="Courier New" w:cs="Courier New"/>
          <w:i/>
          <w:color w:val="3A343A"/>
          <w:sz w:val="33"/>
          <w:szCs w:val="33"/>
        </w:rPr>
        <w:t>DATA SOURCES</w:t>
      </w:r>
      <w:r w:rsidR="009773FC">
        <w:rPr>
          <w:rFonts w:ascii="Arial" w:eastAsia="Arial" w:hAnsi="Arial" w:cs="Arial"/>
          <w:color w:val="3A343A"/>
          <w:sz w:val="33"/>
          <w:szCs w:val="33"/>
        </w:rPr>
        <w:t xml:space="preserve"> </w:t>
      </w:r>
      <w:r w:rsidRPr="7A76925E">
        <w:rPr>
          <w:rFonts w:ascii="Arial" w:eastAsia="Arial" w:hAnsi="Arial" w:cs="Arial"/>
          <w:color w:val="3A343A"/>
          <w:sz w:val="33"/>
          <w:szCs w:val="33"/>
        </w:rPr>
        <w:t xml:space="preserve">panel is located at the at the top right (Figure 1). </w:t>
      </w:r>
    </w:p>
    <w:p w14:paraId="75A4CD46" w14:textId="06949AFB" w:rsidR="7FC79DB3" w:rsidRDefault="7FC79DB3" w:rsidP="00974CF3">
      <w:pPr>
        <w:spacing w:after="360" w:line="240" w:lineRule="auto"/>
        <w:jc w:val="center"/>
        <w:rPr>
          <w:rFonts w:eastAsia="Calibri" w:cs="Calibri"/>
          <w:color w:val="000000" w:themeColor="text1"/>
          <w:lang w:val="de-DE"/>
        </w:rPr>
      </w:pPr>
      <w:r>
        <w:rPr>
          <w:noProof/>
        </w:rPr>
        <w:drawing>
          <wp:inline distT="0" distB="0" distL="0" distR="0" wp14:anchorId="779150CA" wp14:editId="61E736F7">
            <wp:extent cx="5753098" cy="2800350"/>
            <wp:effectExtent l="0" t="0" r="0" b="0"/>
            <wp:docPr id="1899531738" name="Picture 189953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098" cy="2800350"/>
                    </a:xfrm>
                    <a:prstGeom prst="rect">
                      <a:avLst/>
                    </a:prstGeom>
                  </pic:spPr>
                </pic:pic>
              </a:graphicData>
            </a:graphic>
          </wp:inline>
        </w:drawing>
      </w:r>
    </w:p>
    <w:p w14:paraId="49550C87" w14:textId="71A5DF89" w:rsidR="7FC79DB3" w:rsidRDefault="7FC79DB3" w:rsidP="00974CF3">
      <w:pPr>
        <w:spacing w:before="360"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Figure 1: Open data source.</w:t>
      </w:r>
    </w:p>
    <w:p w14:paraId="4C47189F" w14:textId="56366481" w:rsidR="7A76925E" w:rsidRPr="00845E96" w:rsidRDefault="7A76925E" w:rsidP="7A76925E">
      <w:pPr>
        <w:spacing w:after="360" w:line="240" w:lineRule="auto"/>
        <w:rPr>
          <w:rFonts w:eastAsia="Calibri" w:cs="Calibri"/>
          <w:color w:val="000000" w:themeColor="text1"/>
        </w:rPr>
      </w:pPr>
    </w:p>
    <w:p w14:paraId="074B2665" w14:textId="5E3EC0FA" w:rsidR="7FC79DB3" w:rsidRPr="00845E96"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lastRenderedPageBreak/>
        <w:t>It is used to browse</w:t>
      </w:r>
      <w:r w:rsidR="000765DC">
        <w:rPr>
          <w:rFonts w:ascii="Arial" w:eastAsia="Arial" w:hAnsi="Arial" w:cs="Arial"/>
          <w:color w:val="3A343A"/>
          <w:sz w:val="33"/>
          <w:szCs w:val="33"/>
        </w:rPr>
        <w:t xml:space="preserve"> </w:t>
      </w:r>
      <w:r w:rsidR="22593DF7" w:rsidRPr="35F6BF1D">
        <w:rPr>
          <w:rFonts w:ascii="Arial" w:eastAsia="Arial" w:hAnsi="Arial" w:cs="Arial"/>
          <w:color w:val="3A343A"/>
          <w:sz w:val="33"/>
          <w:szCs w:val="33"/>
        </w:rPr>
        <w:t>for</w:t>
      </w:r>
      <w:r w:rsidRPr="7A76925E" w:rsidDel="000765DC">
        <w:rPr>
          <w:rFonts w:ascii="Arial" w:eastAsia="Arial" w:hAnsi="Arial" w:cs="Arial"/>
          <w:color w:val="3A343A"/>
          <w:sz w:val="33"/>
          <w:szCs w:val="33"/>
        </w:rPr>
        <w:t xml:space="preserve"> </w:t>
      </w:r>
      <w:r w:rsidRPr="7A76925E">
        <w:rPr>
          <w:rFonts w:ascii="Arial" w:eastAsia="Arial" w:hAnsi="Arial" w:cs="Arial"/>
          <w:color w:val="3A343A"/>
          <w:sz w:val="33"/>
          <w:szCs w:val="33"/>
        </w:rPr>
        <w:t xml:space="preserve">and open </w:t>
      </w:r>
      <w:r w:rsidR="000B5650">
        <w:rPr>
          <w:rFonts w:ascii="Arial" w:eastAsia="Arial" w:hAnsi="Arial" w:cs="Arial"/>
          <w:color w:val="3A343A"/>
          <w:sz w:val="33"/>
          <w:szCs w:val="33"/>
        </w:rPr>
        <w:t xml:space="preserve">CCI </w:t>
      </w:r>
      <w:r w:rsidRPr="7A76925E">
        <w:rPr>
          <w:rFonts w:ascii="Arial" w:eastAsia="Arial" w:hAnsi="Arial" w:cs="Arial"/>
          <w:color w:val="3A343A"/>
          <w:sz w:val="33"/>
          <w:szCs w:val="33"/>
        </w:rPr>
        <w:t>data</w:t>
      </w:r>
      <w:r w:rsidR="000B5650">
        <w:rPr>
          <w:rFonts w:ascii="Arial" w:eastAsia="Arial" w:hAnsi="Arial" w:cs="Arial"/>
          <w:color w:val="3A343A"/>
          <w:sz w:val="33"/>
          <w:szCs w:val="33"/>
        </w:rPr>
        <w:t>sets</w:t>
      </w:r>
      <w:r w:rsidRPr="7A76925E">
        <w:rPr>
          <w:rFonts w:ascii="Arial" w:eastAsia="Arial" w:hAnsi="Arial" w:cs="Arial"/>
          <w:color w:val="3A343A"/>
          <w:sz w:val="33"/>
          <w:szCs w:val="33"/>
        </w:rPr>
        <w:t>. Using the drop-down list located at the top of the panel it is possible to switch between three data stores:</w:t>
      </w:r>
    </w:p>
    <w:p w14:paraId="5DB36303" w14:textId="1B861699" w:rsidR="7FC79DB3" w:rsidRDefault="7FC79DB3" w:rsidP="35F6BF1D">
      <w:pPr>
        <w:pStyle w:val="ListParagraph"/>
        <w:numPr>
          <w:ilvl w:val="0"/>
          <w:numId w:val="9"/>
        </w:numPr>
        <w:spacing w:before="360" w:after="360" w:line="240" w:lineRule="auto"/>
        <w:jc w:val="both"/>
        <w:rPr>
          <w:rFonts w:ascii="Arial" w:eastAsia="Arial" w:hAnsi="Arial" w:cs="Arial"/>
          <w:b/>
          <w:bCs/>
          <w:color w:val="3A343A"/>
          <w:sz w:val="33"/>
          <w:szCs w:val="33"/>
        </w:rPr>
      </w:pPr>
      <w:r w:rsidRPr="7A76925E">
        <w:rPr>
          <w:rFonts w:ascii="Arial" w:eastAsia="Arial" w:hAnsi="Arial" w:cs="Arial"/>
          <w:b/>
          <w:bCs/>
          <w:color w:val="3A343A"/>
          <w:sz w:val="33"/>
          <w:szCs w:val="33"/>
        </w:rPr>
        <w:t>CCI Open Data Portal</w:t>
      </w:r>
      <w:r w:rsidRPr="7A76925E">
        <w:rPr>
          <w:rFonts w:ascii="Arial" w:eastAsia="Arial" w:hAnsi="Arial" w:cs="Arial"/>
          <w:color w:val="3A343A"/>
          <w:sz w:val="33"/>
          <w:szCs w:val="33"/>
        </w:rPr>
        <w:t xml:space="preserve"> A remote data store that provides access to all published CCI datasets. Internally the  </w:t>
      </w:r>
      <w:hyperlink r:id="rId10">
        <w:proofErr w:type="spellStart"/>
        <w:r w:rsidRPr="7A76925E">
          <w:rPr>
            <w:rStyle w:val="Hyperlink"/>
            <w:rFonts w:ascii="Arial" w:eastAsia="Arial" w:hAnsi="Arial" w:cs="Arial"/>
            <w:i/>
            <w:iCs/>
            <w:sz w:val="33"/>
            <w:szCs w:val="33"/>
          </w:rPr>
          <w:t>OPeNDAP</w:t>
        </w:r>
        <w:proofErr w:type="spellEnd"/>
      </w:hyperlink>
      <w:r w:rsidRPr="7A76925E">
        <w:rPr>
          <w:rFonts w:ascii="Arial" w:eastAsia="Arial" w:hAnsi="Arial" w:cs="Arial"/>
          <w:color w:val="3A343A"/>
          <w:sz w:val="33"/>
          <w:szCs w:val="33"/>
        </w:rPr>
        <w:t xml:space="preserve"> service of the ESA CCI Open Data Portal is used. Some of these datasets cannot be opened with CATE, and they are only visible when the </w:t>
      </w:r>
      <w:proofErr w:type="gramStart"/>
      <w:r w:rsidRPr="7A76925E">
        <w:rPr>
          <w:rFonts w:ascii="Arial" w:eastAsia="Arial" w:hAnsi="Arial" w:cs="Arial"/>
          <w:color w:val="3A343A"/>
          <w:sz w:val="33"/>
          <w:szCs w:val="33"/>
        </w:rPr>
        <w:t>option</w:t>
      </w:r>
      <w:proofErr w:type="gramEnd"/>
      <w:r w:rsidRPr="7A76925E">
        <w:rPr>
          <w:rFonts w:ascii="Arial" w:eastAsia="Arial" w:hAnsi="Arial" w:cs="Arial"/>
          <w:color w:val="3A343A"/>
          <w:sz w:val="33"/>
          <w:szCs w:val="33"/>
        </w:rPr>
        <w:t xml:space="preserve"> </w:t>
      </w:r>
      <w:r w:rsidRPr="35F6BF1D">
        <w:rPr>
          <w:rFonts w:ascii="Arial" w:eastAsia="Arial" w:hAnsi="Arial" w:cs="Arial"/>
          <w:i/>
          <w:color w:val="3A343A"/>
          <w:sz w:val="33"/>
          <w:szCs w:val="33"/>
        </w:rPr>
        <w:t>All data sources</w:t>
      </w:r>
      <w:r w:rsidRPr="7A76925E">
        <w:rPr>
          <w:rFonts w:ascii="Arial" w:eastAsia="Arial" w:hAnsi="Arial" w:cs="Arial"/>
          <w:color w:val="3A343A"/>
          <w:sz w:val="33"/>
          <w:szCs w:val="33"/>
        </w:rPr>
        <w:t xml:space="preserve"> is checked (see the warning tooltip for more information). </w:t>
      </w:r>
    </w:p>
    <w:p w14:paraId="310BD4BF" w14:textId="551E5CB3" w:rsidR="7FC79DB3" w:rsidRDefault="7FC79DB3" w:rsidP="35F6BF1D">
      <w:pPr>
        <w:pStyle w:val="ListParagraph"/>
        <w:numPr>
          <w:ilvl w:val="0"/>
          <w:numId w:val="9"/>
        </w:numPr>
        <w:spacing w:before="360" w:after="360" w:line="240" w:lineRule="auto"/>
        <w:jc w:val="both"/>
        <w:rPr>
          <w:rFonts w:ascii="Arial" w:eastAsia="Arial" w:hAnsi="Arial" w:cs="Arial"/>
          <w:b/>
          <w:bCs/>
          <w:color w:val="3A343A"/>
          <w:sz w:val="33"/>
          <w:szCs w:val="33"/>
        </w:rPr>
      </w:pPr>
      <w:r w:rsidRPr="7A76925E">
        <w:rPr>
          <w:rFonts w:ascii="Arial" w:eastAsia="Arial" w:hAnsi="Arial" w:cs="Arial"/>
          <w:b/>
          <w:bCs/>
          <w:color w:val="3A343A"/>
          <w:sz w:val="33"/>
          <w:szCs w:val="33"/>
        </w:rPr>
        <w:t>CCI Zarr Store (experimental)</w:t>
      </w:r>
      <w:r w:rsidRPr="7A76925E">
        <w:rPr>
          <w:rFonts w:ascii="Arial" w:eastAsia="Arial" w:hAnsi="Arial" w:cs="Arial"/>
          <w:color w:val="3A343A"/>
          <w:sz w:val="33"/>
          <w:szCs w:val="33"/>
        </w:rPr>
        <w:t xml:space="preserve"> A data store which provides access to ODP data that has been converted to the ZARR format. Datasets from this data store can be opened, </w:t>
      </w:r>
      <w:proofErr w:type="gramStart"/>
      <w:r w:rsidRPr="7A76925E">
        <w:rPr>
          <w:rFonts w:ascii="Arial" w:eastAsia="Arial" w:hAnsi="Arial" w:cs="Arial"/>
          <w:color w:val="3A343A"/>
          <w:sz w:val="33"/>
          <w:szCs w:val="33"/>
        </w:rPr>
        <w:t>displayed</w:t>
      </w:r>
      <w:proofErr w:type="gramEnd"/>
      <w:r w:rsidRPr="7A76925E">
        <w:rPr>
          <w:rFonts w:ascii="Arial" w:eastAsia="Arial" w:hAnsi="Arial" w:cs="Arial"/>
          <w:color w:val="3A343A"/>
          <w:sz w:val="33"/>
          <w:szCs w:val="33"/>
        </w:rPr>
        <w:t xml:space="preserve"> and processed significantly</w:t>
      </w:r>
      <w:r w:rsidR="000B5650">
        <w:rPr>
          <w:rFonts w:ascii="Arial" w:eastAsia="Arial" w:hAnsi="Arial" w:cs="Arial"/>
          <w:color w:val="3A343A"/>
          <w:sz w:val="33"/>
          <w:szCs w:val="33"/>
        </w:rPr>
        <w:t xml:space="preserve"> </w:t>
      </w:r>
      <w:r w:rsidRPr="7A76925E">
        <w:rPr>
          <w:rFonts w:ascii="Arial" w:eastAsia="Arial" w:hAnsi="Arial" w:cs="Arial"/>
          <w:color w:val="3A343A"/>
          <w:sz w:val="33"/>
          <w:szCs w:val="33"/>
        </w:rPr>
        <w:t>quicker than datasets from the CCI ODP Store, but there is only a limited number of datasets available.</w:t>
      </w:r>
    </w:p>
    <w:p w14:paraId="3C03C0A4" w14:textId="275A2EA2" w:rsidR="7FC79DB3" w:rsidRDefault="7FC79DB3" w:rsidP="35F6BF1D">
      <w:pPr>
        <w:pStyle w:val="ListParagraph"/>
        <w:numPr>
          <w:ilvl w:val="0"/>
          <w:numId w:val="9"/>
        </w:numPr>
        <w:spacing w:before="360" w:after="360" w:line="240" w:lineRule="auto"/>
        <w:jc w:val="both"/>
        <w:rPr>
          <w:rFonts w:ascii="Arial" w:eastAsia="Arial" w:hAnsi="Arial" w:cs="Arial"/>
          <w:b/>
          <w:bCs/>
          <w:color w:val="3A343A"/>
          <w:sz w:val="33"/>
          <w:szCs w:val="33"/>
        </w:rPr>
      </w:pPr>
      <w:r w:rsidRPr="7A76925E">
        <w:rPr>
          <w:rFonts w:ascii="Arial" w:eastAsia="Arial" w:hAnsi="Arial" w:cs="Arial"/>
          <w:b/>
          <w:bCs/>
          <w:color w:val="3A343A"/>
          <w:sz w:val="33"/>
          <w:szCs w:val="33"/>
        </w:rPr>
        <w:t>File Data Sources</w:t>
      </w:r>
      <w:r w:rsidRPr="7A76925E">
        <w:rPr>
          <w:rFonts w:ascii="Arial" w:eastAsia="Arial" w:hAnsi="Arial" w:cs="Arial"/>
          <w:color w:val="3A343A"/>
          <w:sz w:val="33"/>
          <w:szCs w:val="33"/>
        </w:rPr>
        <w:t xml:space="preserve"> A data store that allows you to store data online in your dedicated workspace. You may either upload your own data and register it as a new data source, or cache data from the CCI Open Data Portal.</w:t>
      </w:r>
    </w:p>
    <w:p w14:paraId="05E01127" w14:textId="48B0696A"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Selecting a data source entry will allow displaying its details, namely the available (geo-physical) variables and the meta-data associated with the data source. Now we will explain how to work with the data sources.</w:t>
      </w:r>
    </w:p>
    <w:p w14:paraId="2547AA70" w14:textId="5F85E88E" w:rsidR="7FC79DB3" w:rsidRDefault="7FC79DB3" w:rsidP="35F6BF1D">
      <w:pPr>
        <w:pStyle w:val="Heading3"/>
        <w:jc w:val="both"/>
        <w:rPr>
          <w:rFonts w:ascii="Arial" w:eastAsia="Arial" w:hAnsi="Arial" w:cs="Arial"/>
          <w:color w:val="3A343A"/>
          <w:sz w:val="33"/>
          <w:szCs w:val="33"/>
        </w:rPr>
      </w:pPr>
      <w:r w:rsidRPr="7A76925E">
        <w:rPr>
          <w:rFonts w:ascii="Arial" w:eastAsia="Arial" w:hAnsi="Arial" w:cs="Arial"/>
          <w:b w:val="0"/>
          <w:bCs w:val="0"/>
          <w:color w:val="3A343A"/>
          <w:sz w:val="33"/>
          <w:szCs w:val="33"/>
        </w:rPr>
        <w:t xml:space="preserve">Select from the ESA CCI Open Data Portal the dataset with the title </w:t>
      </w:r>
      <w:r w:rsidRPr="7A76925E">
        <w:rPr>
          <w:rFonts w:ascii="Arial" w:eastAsia="Arial" w:hAnsi="Arial" w:cs="Arial"/>
          <w:b w:val="0"/>
          <w:bCs w:val="0"/>
          <w:i/>
          <w:iCs/>
          <w:color w:val="212529"/>
          <w:sz w:val="33"/>
          <w:szCs w:val="33"/>
        </w:rPr>
        <w:t>ESA Aerosol Climate Change Initiative (</w:t>
      </w:r>
      <w:proofErr w:type="spellStart"/>
      <w:r w:rsidRPr="7A76925E">
        <w:rPr>
          <w:rFonts w:ascii="Arial" w:eastAsia="Arial" w:hAnsi="Arial" w:cs="Arial"/>
          <w:b w:val="0"/>
          <w:bCs w:val="0"/>
          <w:i/>
          <w:iCs/>
          <w:color w:val="212529"/>
          <w:sz w:val="33"/>
          <w:szCs w:val="33"/>
        </w:rPr>
        <w:t>Aerosol_cci</w:t>
      </w:r>
      <w:proofErr w:type="spellEnd"/>
      <w:r w:rsidRPr="7A76925E">
        <w:rPr>
          <w:rFonts w:ascii="Arial" w:eastAsia="Arial" w:hAnsi="Arial" w:cs="Arial"/>
          <w:b w:val="0"/>
          <w:bCs w:val="0"/>
          <w:i/>
          <w:iCs/>
          <w:color w:val="212529"/>
          <w:sz w:val="33"/>
          <w:szCs w:val="33"/>
        </w:rPr>
        <w:t>): Level 3 aerosol products from the Multi-Sensor UV Absorbing Aerosol Index (MS UVAI) algorithm, Version 1.7</w:t>
      </w:r>
      <w:r w:rsidRPr="7A76925E">
        <w:rPr>
          <w:rFonts w:ascii="Arial" w:eastAsia="Arial" w:hAnsi="Arial" w:cs="Arial"/>
          <w:b w:val="0"/>
          <w:bCs w:val="0"/>
          <w:color w:val="3A343A"/>
          <w:sz w:val="33"/>
          <w:szCs w:val="33"/>
        </w:rPr>
        <w:t xml:space="preserve">. CATE will load data explaining the data source in the </w:t>
      </w:r>
      <w:r w:rsidRPr="7A76925E">
        <w:rPr>
          <w:rFonts w:ascii="Arial" w:eastAsia="Arial" w:hAnsi="Arial" w:cs="Arial"/>
          <w:b w:val="0"/>
          <w:bCs w:val="0"/>
          <w:i/>
          <w:iCs/>
          <w:color w:val="3A343A"/>
          <w:sz w:val="33"/>
          <w:szCs w:val="33"/>
        </w:rPr>
        <w:t xml:space="preserve">Details </w:t>
      </w:r>
      <w:r w:rsidRPr="7A76925E">
        <w:rPr>
          <w:rFonts w:ascii="Arial" w:eastAsia="Arial" w:hAnsi="Arial" w:cs="Arial"/>
          <w:b w:val="0"/>
          <w:bCs w:val="0"/>
          <w:color w:val="3A343A"/>
          <w:sz w:val="33"/>
          <w:szCs w:val="33"/>
        </w:rPr>
        <w:t xml:space="preserve">section of the panel (see Figure 2). There you can also find a link to the dataset's catalogue entry. </w:t>
      </w:r>
    </w:p>
    <w:p w14:paraId="0E06A269" w14:textId="19FC2499" w:rsidR="7FC79DB3" w:rsidRDefault="7FC79DB3" w:rsidP="35F6BF1D">
      <w:pPr>
        <w:pStyle w:val="Heading3"/>
        <w:jc w:val="both"/>
        <w:rPr>
          <w:rFonts w:ascii="Arial" w:eastAsia="Arial" w:hAnsi="Arial" w:cs="Arial"/>
          <w:color w:val="3A343A"/>
          <w:sz w:val="33"/>
          <w:szCs w:val="33"/>
        </w:rPr>
      </w:pPr>
      <w:r w:rsidRPr="7A76925E">
        <w:rPr>
          <w:rFonts w:ascii="Arial" w:eastAsia="Arial" w:hAnsi="Arial" w:cs="Arial"/>
          <w:b w:val="0"/>
          <w:bCs w:val="0"/>
          <w:color w:val="3A343A"/>
          <w:sz w:val="33"/>
          <w:szCs w:val="33"/>
        </w:rPr>
        <w:lastRenderedPageBreak/>
        <w:t xml:space="preserve">The full archive of data is located at </w:t>
      </w:r>
      <w:hyperlink r:id="rId11">
        <w:r w:rsidRPr="7A76925E">
          <w:rPr>
            <w:rStyle w:val="Hyperlink"/>
            <w:rFonts w:ascii="Segoe UI" w:eastAsia="Segoe UI" w:hAnsi="Segoe UI" w:cs="Segoe UI"/>
            <w:b w:val="0"/>
            <w:bCs w:val="0"/>
            <w:sz w:val="33"/>
            <w:szCs w:val="33"/>
          </w:rPr>
          <w:t>https://climate.esa.int/odp/</w:t>
        </w:r>
      </w:hyperlink>
      <w:r w:rsidRPr="7A76925E">
        <w:rPr>
          <w:rFonts w:ascii="Arial" w:eastAsia="Arial" w:hAnsi="Arial" w:cs="Arial"/>
          <w:b w:val="0"/>
          <w:bCs w:val="0"/>
          <w:color w:val="3A343A"/>
          <w:sz w:val="33"/>
          <w:szCs w:val="33"/>
        </w:rPr>
        <w:t>. There you might also find datasets that are not yet accessible via the ODP/Cate.</w:t>
      </w:r>
    </w:p>
    <w:p w14:paraId="637D0BDC" w14:textId="07862A52" w:rsidR="7FC79DB3" w:rsidRDefault="7FC79DB3" w:rsidP="7A76925E">
      <w:pPr>
        <w:spacing w:beforeAutospacing="1" w:afterAutospacing="1" w:line="240" w:lineRule="auto"/>
        <w:jc w:val="center"/>
        <w:rPr>
          <w:rFonts w:ascii="Times New Roman" w:eastAsia="Times New Roman" w:hAnsi="Times New Roman" w:cs="Times New Roman"/>
          <w:b/>
          <w:bCs/>
          <w:color w:val="000000" w:themeColor="text1"/>
          <w:sz w:val="27"/>
          <w:szCs w:val="27"/>
          <w:lang w:val="de-DE"/>
        </w:rPr>
      </w:pPr>
      <w:r>
        <w:rPr>
          <w:noProof/>
        </w:rPr>
        <w:drawing>
          <wp:inline distT="0" distB="0" distL="0" distR="0" wp14:anchorId="6C6BC5FC" wp14:editId="5D0E56B7">
            <wp:extent cx="287655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76550" cy="4572000"/>
                    </a:xfrm>
                    <a:prstGeom prst="rect">
                      <a:avLst/>
                    </a:prstGeom>
                  </pic:spPr>
                </pic:pic>
              </a:graphicData>
            </a:graphic>
          </wp:inline>
        </w:drawing>
      </w:r>
    </w:p>
    <w:p w14:paraId="7D2FC573" w14:textId="2B3CD939" w:rsidR="7FC79DB3" w:rsidRDefault="7FC79DB3" w:rsidP="00974CF3">
      <w:pPr>
        <w:pStyle w:val="Heading3"/>
        <w:jc w:val="center"/>
        <w:rPr>
          <w:rFonts w:ascii="Arial" w:eastAsia="Arial" w:hAnsi="Arial" w:cs="Arial"/>
          <w:color w:val="000000" w:themeColor="text1"/>
          <w:sz w:val="32"/>
          <w:szCs w:val="32"/>
        </w:rPr>
      </w:pPr>
      <w:r w:rsidRPr="7A76925E">
        <w:rPr>
          <w:rFonts w:ascii="Arial" w:eastAsia="Arial" w:hAnsi="Arial" w:cs="Arial"/>
          <w:b w:val="0"/>
          <w:bCs w:val="0"/>
          <w:i/>
          <w:iCs/>
          <w:color w:val="000000" w:themeColor="text1"/>
          <w:sz w:val="32"/>
          <w:szCs w:val="32"/>
        </w:rPr>
        <w:t>Figure 2: The Data Source Panel</w:t>
      </w:r>
    </w:p>
    <w:p w14:paraId="47168794" w14:textId="393A28AE" w:rsidR="7A76925E" w:rsidRPr="00845E96" w:rsidRDefault="7A76925E" w:rsidP="7A76925E">
      <w:pPr>
        <w:spacing w:beforeAutospacing="1" w:afterAutospacing="1" w:line="240" w:lineRule="auto"/>
        <w:rPr>
          <w:rFonts w:ascii="Times New Roman" w:eastAsia="Times New Roman" w:hAnsi="Times New Roman" w:cs="Times New Roman"/>
          <w:b/>
          <w:bCs/>
          <w:color w:val="000000" w:themeColor="text1"/>
          <w:sz w:val="27"/>
          <w:szCs w:val="27"/>
        </w:rPr>
      </w:pPr>
    </w:p>
    <w:p w14:paraId="3F5B0C9C" w14:textId="446EC381" w:rsidR="7FC79DB3"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Next, open the data by clicking on the</w:t>
      </w:r>
      <w:r w:rsidR="000B5650">
        <w:rPr>
          <w:rFonts w:ascii="Arial" w:eastAsia="Arial" w:hAnsi="Arial" w:cs="Arial"/>
          <w:color w:val="3A343A"/>
          <w:sz w:val="33"/>
          <w:szCs w:val="33"/>
        </w:rPr>
        <w:t xml:space="preserve"> </w:t>
      </w:r>
      <w:r w:rsidRPr="35F6BF1D">
        <w:rPr>
          <w:rFonts w:ascii="Courier New" w:eastAsia="Courier New" w:hAnsi="Courier New" w:cs="Courier New"/>
          <w:i/>
          <w:color w:val="3A343A"/>
          <w:sz w:val="33"/>
          <w:szCs w:val="33"/>
        </w:rPr>
        <w:t>Open Data Source</w:t>
      </w:r>
      <w:r w:rsidR="000B5650">
        <w:rPr>
          <w:rFonts w:ascii="Arial" w:eastAsia="Arial" w:hAnsi="Arial" w:cs="Arial"/>
          <w:color w:val="3A343A"/>
          <w:sz w:val="33"/>
          <w:szCs w:val="33"/>
        </w:rPr>
        <w:t xml:space="preserve"> </w:t>
      </w:r>
      <w:r w:rsidRPr="7A76925E">
        <w:rPr>
          <w:rFonts w:ascii="Arial" w:eastAsia="Arial" w:hAnsi="Arial" w:cs="Arial"/>
          <w:color w:val="3A343A"/>
          <w:sz w:val="33"/>
          <w:szCs w:val="33"/>
        </w:rPr>
        <w:t>button (indicated by a red circle in Figure 2). You can select (and you are advised to do so) region, time, and variable constraint (Figure 3). Select a small region and the full-time record of observation. You also have the option to cache the data and assign a new name to it. If you cache it, a copy of the data source will be put into the File Data Sources data store.</w:t>
      </w:r>
    </w:p>
    <w:p w14:paraId="46BB757C" w14:textId="58A42B38" w:rsidR="7FC79DB3" w:rsidRDefault="7FC79DB3" w:rsidP="7A76925E">
      <w:pPr>
        <w:spacing w:after="360" w:line="240" w:lineRule="auto"/>
        <w:jc w:val="center"/>
        <w:rPr>
          <w:rFonts w:eastAsia="Calibri" w:cs="Calibri"/>
          <w:color w:val="000000" w:themeColor="text1"/>
          <w:lang w:val="de-DE"/>
        </w:rPr>
      </w:pPr>
      <w:r>
        <w:rPr>
          <w:noProof/>
        </w:rPr>
        <w:lastRenderedPageBreak/>
        <w:drawing>
          <wp:inline distT="0" distB="0" distL="0" distR="0" wp14:anchorId="0521CA69" wp14:editId="0929206D">
            <wp:extent cx="38481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p>
    <w:p w14:paraId="2CDF956C" w14:textId="5935003C" w:rsidR="7FC79DB3" w:rsidRPr="00845E96" w:rsidRDefault="7FC79DB3" w:rsidP="00974CF3">
      <w:pPr>
        <w:spacing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Figure 3: CATE's Open Dialog</w:t>
      </w:r>
    </w:p>
    <w:p w14:paraId="145A8F70" w14:textId="464912D3" w:rsidR="7FC79DB3"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If you have selected a spatial, </w:t>
      </w:r>
      <w:proofErr w:type="gramStart"/>
      <w:r w:rsidRPr="7A76925E">
        <w:rPr>
          <w:rFonts w:ascii="Arial" w:eastAsia="Arial" w:hAnsi="Arial" w:cs="Arial"/>
          <w:color w:val="3A343A"/>
          <w:sz w:val="33"/>
          <w:szCs w:val="33"/>
        </w:rPr>
        <w:t>temporal</w:t>
      </w:r>
      <w:proofErr w:type="gramEnd"/>
      <w:r w:rsidRPr="7A76925E">
        <w:rPr>
          <w:rFonts w:ascii="Arial" w:eastAsia="Arial" w:hAnsi="Arial" w:cs="Arial"/>
          <w:color w:val="3A343A"/>
          <w:sz w:val="33"/>
          <w:szCs w:val="33"/>
        </w:rPr>
        <w:t xml:space="preserve"> or variable subset, a subset will be cached. If you close Cate and log in back at some alter point, the cached data source will still be available. Working on cached data is faster, but the caching process itself takes some time, depending on the amount of data to be cached.</w:t>
      </w:r>
    </w:p>
    <w:p w14:paraId="732E8D26" w14:textId="2C38D62D"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After confirming the dialog, a download task will be started. Once the download is finished, a notification will be </w:t>
      </w:r>
      <w:r w:rsidR="00130F21">
        <w:rPr>
          <w:rFonts w:ascii="Arial" w:eastAsia="Arial" w:hAnsi="Arial" w:cs="Arial"/>
          <w:color w:val="3A343A"/>
          <w:sz w:val="33"/>
          <w:szCs w:val="33"/>
        </w:rPr>
        <w:t>shown,</w:t>
      </w:r>
      <w:r w:rsidR="00130F21" w:rsidRPr="7A76925E">
        <w:rPr>
          <w:rFonts w:ascii="Arial" w:eastAsia="Arial" w:hAnsi="Arial" w:cs="Arial"/>
          <w:color w:val="3A343A"/>
          <w:sz w:val="33"/>
          <w:szCs w:val="33"/>
        </w:rPr>
        <w:t xml:space="preserve"> </w:t>
      </w:r>
      <w:r w:rsidRPr="7A76925E">
        <w:rPr>
          <w:rFonts w:ascii="Arial" w:eastAsia="Arial" w:hAnsi="Arial" w:cs="Arial"/>
          <w:color w:val="3A343A"/>
          <w:sz w:val="33"/>
          <w:szCs w:val="33"/>
        </w:rPr>
        <w:t xml:space="preserve">and the dataset will be displayed on the world view (Figure 4). If you had checked the caching option, a new local data source will be available in the </w:t>
      </w:r>
      <w:r w:rsidRPr="35F6BF1D">
        <w:rPr>
          <w:rFonts w:ascii="Arial" w:eastAsia="Arial" w:hAnsi="Arial" w:cs="Arial"/>
          <w:i/>
          <w:color w:val="3A343A"/>
          <w:sz w:val="33"/>
          <w:szCs w:val="33"/>
        </w:rPr>
        <w:t>File Data Sources</w:t>
      </w:r>
      <w:r w:rsidRPr="7A76925E">
        <w:rPr>
          <w:rFonts w:ascii="Arial" w:eastAsia="Arial" w:hAnsi="Arial" w:cs="Arial"/>
          <w:color w:val="3A343A"/>
          <w:sz w:val="33"/>
          <w:szCs w:val="33"/>
        </w:rPr>
        <w:t xml:space="preserve"> data store.</w:t>
      </w:r>
    </w:p>
    <w:p w14:paraId="25A9C755" w14:textId="3C614E83" w:rsidR="7FC79DB3" w:rsidRDefault="7FC79DB3" w:rsidP="00974CF3">
      <w:pPr>
        <w:spacing w:before="360" w:after="360" w:line="240" w:lineRule="auto"/>
        <w:jc w:val="center"/>
        <w:rPr>
          <w:rFonts w:eastAsia="Calibri" w:cs="Calibri"/>
          <w:color w:val="000000" w:themeColor="text1"/>
          <w:lang w:val="de-DE"/>
        </w:rPr>
      </w:pPr>
      <w:r>
        <w:rPr>
          <w:noProof/>
        </w:rPr>
        <w:lastRenderedPageBreak/>
        <w:drawing>
          <wp:inline distT="0" distB="0" distL="0" distR="0" wp14:anchorId="044E77C7" wp14:editId="7FF85440">
            <wp:extent cx="5753098"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098" cy="2790825"/>
                    </a:xfrm>
                    <a:prstGeom prst="rect">
                      <a:avLst/>
                    </a:prstGeom>
                  </pic:spPr>
                </pic:pic>
              </a:graphicData>
            </a:graphic>
          </wp:inline>
        </w:drawing>
      </w:r>
    </w:p>
    <w:p w14:paraId="6C8BA952" w14:textId="41070B73" w:rsidR="7FC79DB3" w:rsidRPr="00845E96" w:rsidRDefault="7FC79DB3" w:rsidP="00974CF3">
      <w:pPr>
        <w:spacing w:beforeAutospacing="1" w:afterAutospacing="1"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Figure 4: The Aerosol Dataset after opening</w:t>
      </w:r>
    </w:p>
    <w:p w14:paraId="6C23092C" w14:textId="63ED417B" w:rsidR="7A76925E" w:rsidRPr="00845E96" w:rsidRDefault="7A76925E" w:rsidP="7A76925E">
      <w:pPr>
        <w:spacing w:beforeAutospacing="1" w:afterAutospacing="1" w:line="240" w:lineRule="auto"/>
        <w:rPr>
          <w:rFonts w:ascii="Arial" w:eastAsia="Arial" w:hAnsi="Arial" w:cs="Arial"/>
          <w:color w:val="3A343A"/>
          <w:sz w:val="33"/>
          <w:szCs w:val="33"/>
        </w:rPr>
      </w:pPr>
    </w:p>
    <w:p w14:paraId="79D981CB" w14:textId="3F036FBC" w:rsidR="7FC79DB3" w:rsidRDefault="7FC79DB3" w:rsidP="35F6BF1D">
      <w:pPr>
        <w:spacing w:beforeAutospacing="1" w:afterAutospacing="1" w:line="240" w:lineRule="auto"/>
        <w:jc w:val="both"/>
        <w:rPr>
          <w:rFonts w:ascii="Arial" w:eastAsia="Arial" w:hAnsi="Arial" w:cs="Arial"/>
          <w:color w:val="3A343A"/>
          <w:sz w:val="36"/>
          <w:szCs w:val="36"/>
        </w:rPr>
      </w:pPr>
      <w:r w:rsidRPr="7A76925E">
        <w:rPr>
          <w:rFonts w:ascii="Arial" w:eastAsia="Arial" w:hAnsi="Arial" w:cs="Arial"/>
          <w:b/>
          <w:bCs/>
          <w:color w:val="3A343A"/>
          <w:sz w:val="36"/>
          <w:szCs w:val="36"/>
        </w:rPr>
        <w:t>Data Analysis</w:t>
      </w:r>
    </w:p>
    <w:p w14:paraId="613DE4E3" w14:textId="5A0B9E43" w:rsidR="7FC79DB3"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This section shows how you can access CCI data and use CATE operations to visualise and analyse the data. By doing so, the Absorbing Aerosol Index will be explained.</w:t>
      </w:r>
    </w:p>
    <w:p w14:paraId="142197DD" w14:textId="7DAC7A82" w:rsidR="7FC79DB3" w:rsidRDefault="7FC79DB3" w:rsidP="35F6BF1D">
      <w:pPr>
        <w:spacing w:beforeAutospacing="1" w:afterAutospacing="1" w:line="240" w:lineRule="auto"/>
        <w:jc w:val="both"/>
        <w:rPr>
          <w:rFonts w:ascii="Arial" w:eastAsia="Arial" w:hAnsi="Arial" w:cs="Arial"/>
          <w:color w:val="3A343A"/>
          <w:sz w:val="27"/>
          <w:szCs w:val="27"/>
        </w:rPr>
      </w:pPr>
      <w:r w:rsidRPr="7A76925E">
        <w:rPr>
          <w:rFonts w:ascii="Arial" w:eastAsia="Arial" w:hAnsi="Arial" w:cs="Arial"/>
          <w:b/>
          <w:bCs/>
          <w:color w:val="3A343A"/>
          <w:sz w:val="27"/>
          <w:szCs w:val="27"/>
        </w:rPr>
        <w:t>Open and visualise data</w:t>
      </w:r>
    </w:p>
    <w:p w14:paraId="24391835" w14:textId="2CF3E2CC" w:rsidR="7FC79DB3" w:rsidRPr="00845E96" w:rsidRDefault="7FC79DB3" w:rsidP="35F6BF1D">
      <w:pPr>
        <w:spacing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By now you should have opened the Aerosol dataset. Note that you can open it multiple times, with, e.g., different </w:t>
      </w:r>
      <w:r w:rsidR="4B31FDDC" w:rsidRPr="35F6BF1D">
        <w:rPr>
          <w:rFonts w:ascii="Arial" w:eastAsia="Arial" w:hAnsi="Arial" w:cs="Arial"/>
          <w:color w:val="3A343A"/>
          <w:sz w:val="33"/>
          <w:szCs w:val="33"/>
        </w:rPr>
        <w:t>subset</w:t>
      </w:r>
      <w:r w:rsidRPr="7A76925E">
        <w:rPr>
          <w:rFonts w:ascii="Arial" w:eastAsia="Arial" w:hAnsi="Arial" w:cs="Arial"/>
          <w:color w:val="3A343A"/>
          <w:sz w:val="33"/>
          <w:szCs w:val="33"/>
        </w:rPr>
        <w:t xml:space="preserve"> parameters. The following steps are performed best with a subset of a temporal period of about one year.</w:t>
      </w:r>
    </w:p>
    <w:p w14:paraId="328589F6" w14:textId="460F8A28" w:rsidR="7FC79DB3" w:rsidRPr="00845E96"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At the top of the right </w:t>
      </w:r>
      <w:proofErr w:type="gramStart"/>
      <w:r w:rsidRPr="7A76925E">
        <w:rPr>
          <w:rFonts w:ascii="Arial" w:eastAsia="Arial" w:hAnsi="Arial" w:cs="Arial"/>
          <w:color w:val="3A343A"/>
          <w:sz w:val="33"/>
          <w:szCs w:val="33"/>
        </w:rPr>
        <w:t>panel</w:t>
      </w:r>
      <w:proofErr w:type="gramEnd"/>
      <w:r w:rsidRPr="7A76925E">
        <w:rPr>
          <w:rFonts w:ascii="Arial" w:eastAsia="Arial" w:hAnsi="Arial" w:cs="Arial"/>
          <w:color w:val="3A343A"/>
          <w:sz w:val="33"/>
          <w:szCs w:val="33"/>
        </w:rPr>
        <w:t xml:space="preserve"> you see the workspace with an overview about the operations you performed and its results. Right now, it should list the times you opened a dataset.</w:t>
      </w:r>
    </w:p>
    <w:p w14:paraId="4BCF3D2B" w14:textId="1F5E86DB" w:rsidR="7FC79DB3" w:rsidRPr="00845E96"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At the bottom of the right panel is a list of variables contained in this data source. You can select any variable. In the panel, </w:t>
      </w:r>
      <w:r w:rsidRPr="7A76925E">
        <w:rPr>
          <w:rFonts w:ascii="Arial" w:eastAsia="Arial" w:hAnsi="Arial" w:cs="Arial"/>
          <w:color w:val="3A343A"/>
          <w:sz w:val="33"/>
          <w:szCs w:val="33"/>
        </w:rPr>
        <w:lastRenderedPageBreak/>
        <w:t xml:space="preserve">detailed information about the variable is shown. If the variable has latitude and longitude dimensions, it will be directly visualised on the globe. You can explore any region on earth by rotating the globe and zooming into areas of interest. </w:t>
      </w:r>
    </w:p>
    <w:p w14:paraId="4986160D" w14:textId="5C638A6F" w:rsidR="7FC79DB3" w:rsidRPr="00845E96"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Choose any point on earth and right-click to place a point marker (Figure 5). A green rectangle will indicate that this placemark is now selected.</w:t>
      </w:r>
    </w:p>
    <w:p w14:paraId="592076B1" w14:textId="47FE885B" w:rsidR="7FC79DB3" w:rsidRDefault="7FC79DB3" w:rsidP="00974CF3">
      <w:pPr>
        <w:spacing w:before="360" w:after="360" w:line="240" w:lineRule="auto"/>
        <w:jc w:val="center"/>
        <w:rPr>
          <w:rFonts w:eastAsia="Calibri" w:cs="Calibri"/>
          <w:color w:val="000000" w:themeColor="text1"/>
          <w:lang w:val="de-DE"/>
        </w:rPr>
      </w:pPr>
      <w:r>
        <w:rPr>
          <w:noProof/>
        </w:rPr>
        <w:drawing>
          <wp:inline distT="0" distB="0" distL="0" distR="0" wp14:anchorId="565EFE21" wp14:editId="2CC8E7B4">
            <wp:extent cx="4572000"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E378DEC" w14:textId="61D8A196" w:rsidR="7FC79DB3" w:rsidRDefault="7FC79DB3" w:rsidP="00974CF3">
      <w:pPr>
        <w:spacing w:before="360"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Figure 5: Visualising with CATE and placing a point marker.</w:t>
      </w:r>
    </w:p>
    <w:p w14:paraId="21D4A195" w14:textId="14BE1144" w:rsidR="7FC79DB3" w:rsidRPr="00845E96"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In the </w:t>
      </w:r>
      <w:r w:rsidRPr="35F6BF1D">
        <w:rPr>
          <w:rFonts w:ascii="Arial" w:eastAsia="Arial" w:hAnsi="Arial" w:cs="Arial"/>
          <w:i/>
          <w:color w:val="3A343A"/>
          <w:sz w:val="33"/>
          <w:szCs w:val="33"/>
        </w:rPr>
        <w:t xml:space="preserve">VARIABLES </w:t>
      </w:r>
      <w:r w:rsidRPr="7A76925E">
        <w:rPr>
          <w:rFonts w:ascii="Arial" w:eastAsia="Arial" w:hAnsi="Arial" w:cs="Arial"/>
          <w:color w:val="3A343A"/>
          <w:sz w:val="33"/>
          <w:szCs w:val="33"/>
        </w:rPr>
        <w:t xml:space="preserve">panel on the right, click </w:t>
      </w:r>
      <w:r w:rsidRPr="35F6BF1D">
        <w:rPr>
          <w:rFonts w:ascii="Arial" w:eastAsia="Arial" w:hAnsi="Arial" w:cs="Arial"/>
          <w:i/>
          <w:color w:val="3A343A"/>
          <w:sz w:val="33"/>
          <w:szCs w:val="33"/>
        </w:rPr>
        <w:t>Create a time-series plot from selected placemark</w:t>
      </w:r>
      <w:r w:rsidRPr="7A76925E">
        <w:rPr>
          <w:rFonts w:ascii="Arial" w:eastAsia="Arial" w:hAnsi="Arial" w:cs="Arial"/>
          <w:color w:val="3A343A"/>
          <w:sz w:val="33"/>
          <w:szCs w:val="33"/>
        </w:rPr>
        <w:t xml:space="preserve"> (Figure 6). When computation has finished, a plot will be opened (Figure 7).</w:t>
      </w:r>
    </w:p>
    <w:p w14:paraId="1F481982" w14:textId="6DE96161" w:rsidR="7FC79DB3" w:rsidRDefault="7FC79DB3" w:rsidP="7A76925E">
      <w:pPr>
        <w:spacing w:before="360" w:after="360" w:line="240" w:lineRule="auto"/>
        <w:rPr>
          <w:rFonts w:eastAsia="Calibri" w:cs="Calibri"/>
          <w:color w:val="000000" w:themeColor="text1"/>
          <w:lang w:val="de-DE"/>
        </w:rPr>
      </w:pPr>
      <w:r>
        <w:rPr>
          <w:noProof/>
        </w:rPr>
        <w:drawing>
          <wp:inline distT="0" distB="0" distL="0" distR="0" wp14:anchorId="116F1EA3" wp14:editId="42CEFE93">
            <wp:extent cx="5753098"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1809750"/>
                    </a:xfrm>
                    <a:prstGeom prst="rect">
                      <a:avLst/>
                    </a:prstGeom>
                  </pic:spPr>
                </pic:pic>
              </a:graphicData>
            </a:graphic>
          </wp:inline>
        </w:drawing>
      </w:r>
    </w:p>
    <w:p w14:paraId="77DD48AC" w14:textId="7A00A5D7" w:rsidR="7FC79DB3" w:rsidRDefault="7FC79DB3" w:rsidP="00974CF3">
      <w:pPr>
        <w:spacing w:before="360"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lastRenderedPageBreak/>
        <w:t>Figure 6: Create a time series plot from the selected placemark.</w:t>
      </w:r>
    </w:p>
    <w:p w14:paraId="53B3817E" w14:textId="1F389EA2" w:rsidR="7FC79DB3" w:rsidRDefault="7FC79DB3" w:rsidP="00974CF3">
      <w:pPr>
        <w:spacing w:before="360" w:after="360" w:line="240" w:lineRule="auto"/>
        <w:jc w:val="center"/>
        <w:rPr>
          <w:rFonts w:eastAsia="Calibri" w:cs="Calibri"/>
          <w:color w:val="000000" w:themeColor="text1"/>
          <w:lang w:val="de-DE"/>
        </w:rPr>
      </w:pPr>
      <w:r>
        <w:rPr>
          <w:noProof/>
        </w:rPr>
        <w:drawing>
          <wp:inline distT="0" distB="0" distL="0" distR="0" wp14:anchorId="54A6D7D3" wp14:editId="46738829">
            <wp:extent cx="5753098"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3098" cy="1952625"/>
                    </a:xfrm>
                    <a:prstGeom prst="rect">
                      <a:avLst/>
                    </a:prstGeom>
                  </pic:spPr>
                </pic:pic>
              </a:graphicData>
            </a:graphic>
          </wp:inline>
        </w:drawing>
      </w:r>
    </w:p>
    <w:p w14:paraId="42D03933" w14:textId="3EEB9E66" w:rsidR="7A76925E" w:rsidRPr="00845E96" w:rsidRDefault="7FC79DB3" w:rsidP="00974CF3">
      <w:pPr>
        <w:spacing w:before="360" w:after="360" w:line="240" w:lineRule="auto"/>
        <w:jc w:val="center"/>
        <w:rPr>
          <w:rFonts w:ascii="Arial" w:eastAsia="Arial" w:hAnsi="Arial" w:cs="Arial"/>
          <w:color w:val="000000" w:themeColor="text1"/>
          <w:sz w:val="33"/>
          <w:szCs w:val="33"/>
        </w:rPr>
      </w:pPr>
      <w:r w:rsidRPr="7A76925E">
        <w:rPr>
          <w:rFonts w:ascii="Arial" w:eastAsia="Arial" w:hAnsi="Arial" w:cs="Arial"/>
          <w:i/>
          <w:iCs/>
          <w:color w:val="000000" w:themeColor="text1"/>
          <w:sz w:val="33"/>
          <w:szCs w:val="33"/>
        </w:rPr>
        <w:t>Figure 7: The Time-Series for the selected place marker</w:t>
      </w:r>
    </w:p>
    <w:p w14:paraId="300DFD43" w14:textId="57D4A579"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 xml:space="preserve">You can compare with a different region of the world by putting another placemark (Figure 8) and creating a time series for it. A new tab with the time series plot of the </w:t>
      </w:r>
      <w:proofErr w:type="gramStart"/>
      <w:r w:rsidRPr="7A76925E">
        <w:rPr>
          <w:rFonts w:ascii="Arial" w:eastAsia="Arial" w:hAnsi="Arial" w:cs="Arial"/>
          <w:color w:val="3A343A"/>
          <w:sz w:val="33"/>
          <w:szCs w:val="33"/>
        </w:rPr>
        <w:t>second place</w:t>
      </w:r>
      <w:proofErr w:type="gramEnd"/>
      <w:r w:rsidRPr="7A76925E">
        <w:rPr>
          <w:rFonts w:ascii="Arial" w:eastAsia="Arial" w:hAnsi="Arial" w:cs="Arial"/>
          <w:color w:val="3A343A"/>
          <w:sz w:val="33"/>
          <w:szCs w:val="33"/>
        </w:rPr>
        <w:t xml:space="preserve"> marker will appear (Figure 9).</w:t>
      </w:r>
    </w:p>
    <w:p w14:paraId="5360353D" w14:textId="2807AB1A" w:rsidR="7FC79DB3" w:rsidRDefault="7FC79DB3" w:rsidP="00974CF3">
      <w:pPr>
        <w:spacing w:before="360" w:after="360" w:line="240" w:lineRule="auto"/>
        <w:jc w:val="center"/>
        <w:rPr>
          <w:rFonts w:eastAsia="Calibri" w:cs="Calibri"/>
          <w:color w:val="000000" w:themeColor="text1"/>
          <w:lang w:val="de-DE"/>
        </w:rPr>
      </w:pPr>
      <w:r>
        <w:rPr>
          <w:noProof/>
        </w:rPr>
        <w:drawing>
          <wp:inline distT="0" distB="0" distL="0" distR="0" wp14:anchorId="22964B47" wp14:editId="78E6C7B4">
            <wp:extent cx="5753098" cy="3305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3098" cy="3305175"/>
                    </a:xfrm>
                    <a:prstGeom prst="rect">
                      <a:avLst/>
                    </a:prstGeom>
                  </pic:spPr>
                </pic:pic>
              </a:graphicData>
            </a:graphic>
          </wp:inline>
        </w:drawing>
      </w:r>
    </w:p>
    <w:p w14:paraId="4E0993C1" w14:textId="264305D0" w:rsidR="7FC79DB3" w:rsidRDefault="7FC79DB3" w:rsidP="00974CF3">
      <w:pPr>
        <w:spacing w:before="360" w:after="360" w:line="240" w:lineRule="auto"/>
        <w:jc w:val="center"/>
        <w:rPr>
          <w:rFonts w:ascii="Arial" w:eastAsia="Arial" w:hAnsi="Arial" w:cs="Arial"/>
          <w:color w:val="000000" w:themeColor="text1"/>
          <w:sz w:val="33"/>
          <w:szCs w:val="33"/>
          <w:lang w:val="de-DE"/>
        </w:rPr>
      </w:pPr>
      <w:r w:rsidRPr="7A76925E">
        <w:rPr>
          <w:rFonts w:ascii="Arial" w:eastAsia="Arial" w:hAnsi="Arial" w:cs="Arial"/>
          <w:i/>
          <w:iCs/>
          <w:color w:val="000000" w:themeColor="text1"/>
          <w:sz w:val="33"/>
          <w:szCs w:val="33"/>
        </w:rPr>
        <w:t>Figure 8: Placing a second marker</w:t>
      </w:r>
    </w:p>
    <w:p w14:paraId="141771CB" w14:textId="1A4034D6" w:rsidR="7FC79DB3" w:rsidRDefault="7FC79DB3" w:rsidP="00974CF3">
      <w:pPr>
        <w:spacing w:before="360" w:after="360" w:line="240" w:lineRule="auto"/>
        <w:jc w:val="center"/>
        <w:rPr>
          <w:rFonts w:eastAsia="Calibri" w:cs="Calibri"/>
          <w:color w:val="000000" w:themeColor="text1"/>
          <w:lang w:val="de-DE"/>
        </w:rPr>
      </w:pPr>
      <w:r>
        <w:rPr>
          <w:noProof/>
        </w:rPr>
        <w:lastRenderedPageBreak/>
        <w:drawing>
          <wp:inline distT="0" distB="0" distL="0" distR="0" wp14:anchorId="4C97898C" wp14:editId="68C1F6A8">
            <wp:extent cx="57530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3098" cy="1924050"/>
                    </a:xfrm>
                    <a:prstGeom prst="rect">
                      <a:avLst/>
                    </a:prstGeom>
                  </pic:spPr>
                </pic:pic>
              </a:graphicData>
            </a:graphic>
          </wp:inline>
        </w:drawing>
      </w:r>
    </w:p>
    <w:p w14:paraId="38C9933F" w14:textId="2C88BE3A" w:rsidR="7FC79DB3" w:rsidRPr="00845E96" w:rsidRDefault="7FC79DB3" w:rsidP="00974CF3">
      <w:pPr>
        <w:spacing w:before="360"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 xml:space="preserve">Figure 9: Time series at the </w:t>
      </w:r>
      <w:proofErr w:type="gramStart"/>
      <w:r w:rsidRPr="7A76925E">
        <w:rPr>
          <w:rFonts w:ascii="Arial" w:eastAsia="Arial" w:hAnsi="Arial" w:cs="Arial"/>
          <w:i/>
          <w:iCs/>
          <w:color w:val="3A343A"/>
          <w:sz w:val="33"/>
          <w:szCs w:val="33"/>
        </w:rPr>
        <w:t>second place</w:t>
      </w:r>
      <w:proofErr w:type="gramEnd"/>
      <w:r w:rsidRPr="7A76925E">
        <w:rPr>
          <w:rFonts w:ascii="Arial" w:eastAsia="Arial" w:hAnsi="Arial" w:cs="Arial"/>
          <w:i/>
          <w:iCs/>
          <w:color w:val="3A343A"/>
          <w:sz w:val="33"/>
          <w:szCs w:val="33"/>
        </w:rPr>
        <w:t xml:space="preserve"> marker</w:t>
      </w:r>
    </w:p>
    <w:p w14:paraId="47A17810" w14:textId="6E4AE510"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There are two main features to learn from this example:</w:t>
      </w:r>
    </w:p>
    <w:p w14:paraId="6E90695E" w14:textId="6BB5AD70" w:rsidR="7FC79DB3" w:rsidRDefault="7FC79DB3" w:rsidP="35F6BF1D">
      <w:pPr>
        <w:pStyle w:val="ListParagraph"/>
        <w:numPr>
          <w:ilvl w:val="0"/>
          <w:numId w:val="8"/>
        </w:num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The Absorbing Aerosol Index (AAI) is a qualitative quantity that shows the presence of absorbing aerosols. In this case, the ultraviolet (UV) spectral range is used to detect the presence of UV-absorbing aerosols in the atmosphere. Positive values indicate the presence of absorbing aerosol like smoke and dust while small or negative values represent non-absorbing aerosols and clouds. The values of AAI are dependent on aerosol properties but also on sensor characteristics, and retrieval conditions (solar zenith angle and surface albedo).</w:t>
      </w:r>
    </w:p>
    <w:p w14:paraId="7E120D6F" w14:textId="0C42B6CB" w:rsidR="7FC79DB3" w:rsidRDefault="7FC79DB3" w:rsidP="35F6BF1D">
      <w:pPr>
        <w:pStyle w:val="ListParagraph"/>
        <w:numPr>
          <w:ilvl w:val="0"/>
          <w:numId w:val="8"/>
        </w:num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Different locations will have different values and time series. For example, comparing the time series in Figures 6 and 7, we can observe that in Europe (place marker 1), scattering aerosol is present.</w:t>
      </w:r>
    </w:p>
    <w:p w14:paraId="3217C20F" w14:textId="1E230754" w:rsidR="7FC79DB3"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To appreciate the presented time series, you can plot the histogram of the global climatology values of AAI (Figure 9).</w:t>
      </w:r>
    </w:p>
    <w:p w14:paraId="47546ED4" w14:textId="617FC139" w:rsidR="7FC79DB3" w:rsidRDefault="7FC79DB3" w:rsidP="7A76925E">
      <w:pPr>
        <w:spacing w:before="360" w:after="360" w:line="240" w:lineRule="auto"/>
        <w:jc w:val="center"/>
        <w:rPr>
          <w:rFonts w:eastAsia="Calibri" w:cs="Calibri"/>
          <w:color w:val="000000" w:themeColor="text1"/>
          <w:lang w:val="de-DE"/>
        </w:rPr>
      </w:pPr>
      <w:r>
        <w:rPr>
          <w:noProof/>
        </w:rPr>
        <w:lastRenderedPageBreak/>
        <w:drawing>
          <wp:inline distT="0" distB="0" distL="0" distR="0" wp14:anchorId="1B0984B2" wp14:editId="28384455">
            <wp:extent cx="2886075" cy="4371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6075" cy="4371975"/>
                    </a:xfrm>
                    <a:prstGeom prst="rect">
                      <a:avLst/>
                    </a:prstGeom>
                  </pic:spPr>
                </pic:pic>
              </a:graphicData>
            </a:graphic>
          </wp:inline>
        </w:drawing>
      </w:r>
    </w:p>
    <w:p w14:paraId="2BD91659" w14:textId="5E35447E" w:rsidR="7FC79DB3" w:rsidRPr="00845E96" w:rsidRDefault="7FC79DB3" w:rsidP="00974CF3">
      <w:pPr>
        <w:spacing w:before="360" w:after="360" w:line="240" w:lineRule="auto"/>
        <w:jc w:val="center"/>
        <w:rPr>
          <w:rFonts w:ascii="Arial" w:eastAsia="Arial" w:hAnsi="Arial" w:cs="Arial"/>
          <w:color w:val="3A343A"/>
          <w:sz w:val="33"/>
          <w:szCs w:val="33"/>
        </w:rPr>
      </w:pPr>
      <w:r w:rsidRPr="7A76925E">
        <w:rPr>
          <w:rFonts w:ascii="Arial" w:eastAsia="Arial" w:hAnsi="Arial" w:cs="Arial"/>
          <w:i/>
          <w:iCs/>
          <w:color w:val="3A343A"/>
          <w:sz w:val="33"/>
          <w:szCs w:val="33"/>
        </w:rPr>
        <w:t>Figure 10: Create a histogram plot</w:t>
      </w:r>
    </w:p>
    <w:p w14:paraId="0542163D" w14:textId="75A22391" w:rsidR="7FC79DB3" w:rsidRPr="00845E96" w:rsidRDefault="7FC79DB3" w:rsidP="35F6BF1D">
      <w:pPr>
        <w:spacing w:before="360" w:after="360" w:line="240" w:lineRule="auto"/>
        <w:jc w:val="both"/>
        <w:rPr>
          <w:rFonts w:ascii="Arial" w:eastAsia="Arial" w:hAnsi="Arial" w:cs="Arial"/>
          <w:color w:val="3A343A"/>
          <w:sz w:val="33"/>
          <w:szCs w:val="33"/>
        </w:rPr>
      </w:pPr>
      <w:r w:rsidRPr="7A76925E">
        <w:rPr>
          <w:rFonts w:ascii="Arial" w:eastAsia="Arial" w:hAnsi="Arial" w:cs="Arial"/>
          <w:color w:val="3A343A"/>
          <w:sz w:val="33"/>
          <w:szCs w:val="33"/>
        </w:rPr>
        <w:t>Now one can immediately notice that in our example the time series of Figure 7 and Figure 9 represent extreme values. The values of Figure 7 are located at the right-end of the histogram, whereas the values of Figure 9 are located at the left-end.</w:t>
      </w:r>
    </w:p>
    <w:p w14:paraId="16536307" w14:textId="556EC170" w:rsidR="7FC79DB3" w:rsidRPr="00845E96" w:rsidRDefault="7FC79DB3" w:rsidP="00974CF3">
      <w:pPr>
        <w:spacing w:before="360" w:after="360" w:line="240" w:lineRule="auto"/>
        <w:jc w:val="center"/>
        <w:rPr>
          <w:rFonts w:ascii="Arial" w:eastAsia="Arial" w:hAnsi="Arial" w:cs="Arial"/>
          <w:color w:val="3A343A"/>
          <w:sz w:val="33"/>
          <w:szCs w:val="33"/>
        </w:rPr>
      </w:pPr>
      <w:r>
        <w:rPr>
          <w:noProof/>
        </w:rPr>
        <w:lastRenderedPageBreak/>
        <w:drawing>
          <wp:inline distT="0" distB="0" distL="0" distR="0" wp14:anchorId="1ADC3D75" wp14:editId="2830958A">
            <wp:extent cx="5972175"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2000250"/>
                    </a:xfrm>
                    <a:prstGeom prst="rect">
                      <a:avLst/>
                    </a:prstGeom>
                  </pic:spPr>
                </pic:pic>
              </a:graphicData>
            </a:graphic>
          </wp:inline>
        </w:drawing>
      </w:r>
      <w:r w:rsidRPr="7A76925E">
        <w:rPr>
          <w:rFonts w:ascii="Arial" w:eastAsia="Arial" w:hAnsi="Arial" w:cs="Arial"/>
          <w:i/>
          <w:iCs/>
          <w:color w:val="3A343A"/>
          <w:sz w:val="33"/>
          <w:szCs w:val="33"/>
        </w:rPr>
        <w:t>Figure 11: Histogram of the global climatology values of absorbing aerosol index.</w:t>
      </w:r>
    </w:p>
    <w:p w14:paraId="48B6FDB4" w14:textId="01B22B11" w:rsidR="7A76925E" w:rsidRDefault="7A76925E" w:rsidP="7A76925E">
      <w:pPr>
        <w:rPr>
          <w:rFonts w:eastAsia="Calibri" w:cs="Calibri"/>
          <w:color w:val="000000" w:themeColor="text1"/>
        </w:rPr>
      </w:pPr>
    </w:p>
    <w:p w14:paraId="7EFA5080" w14:textId="252F12B6" w:rsidR="7A76925E" w:rsidRDefault="7A76925E" w:rsidP="7A76925E"/>
    <w:sectPr w:rsidR="7A76925E" w:rsidSect="00181C02">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5081"/>
    <w:multiLevelType w:val="hybridMultilevel"/>
    <w:tmpl w:val="FFFFFFFF"/>
    <w:lvl w:ilvl="0" w:tplc="36D01AB6">
      <w:start w:val="1"/>
      <w:numFmt w:val="decimal"/>
      <w:lvlText w:val="%1."/>
      <w:lvlJc w:val="left"/>
      <w:pPr>
        <w:ind w:left="720" w:hanging="360"/>
      </w:pPr>
    </w:lvl>
    <w:lvl w:ilvl="1" w:tplc="F75AEB56">
      <w:start w:val="1"/>
      <w:numFmt w:val="lowerLetter"/>
      <w:lvlText w:val="%2."/>
      <w:lvlJc w:val="left"/>
      <w:pPr>
        <w:ind w:left="1440" w:hanging="360"/>
      </w:pPr>
    </w:lvl>
    <w:lvl w:ilvl="2" w:tplc="064869CC">
      <w:start w:val="1"/>
      <w:numFmt w:val="lowerRoman"/>
      <w:lvlText w:val="%3."/>
      <w:lvlJc w:val="right"/>
      <w:pPr>
        <w:ind w:left="2160" w:hanging="180"/>
      </w:pPr>
    </w:lvl>
    <w:lvl w:ilvl="3" w:tplc="318E5F06">
      <w:start w:val="1"/>
      <w:numFmt w:val="decimal"/>
      <w:lvlText w:val="%4."/>
      <w:lvlJc w:val="left"/>
      <w:pPr>
        <w:ind w:left="2880" w:hanging="360"/>
      </w:pPr>
    </w:lvl>
    <w:lvl w:ilvl="4" w:tplc="E17E59C8">
      <w:start w:val="1"/>
      <w:numFmt w:val="lowerLetter"/>
      <w:lvlText w:val="%5."/>
      <w:lvlJc w:val="left"/>
      <w:pPr>
        <w:ind w:left="3600" w:hanging="360"/>
      </w:pPr>
    </w:lvl>
    <w:lvl w:ilvl="5" w:tplc="E8746D76">
      <w:start w:val="1"/>
      <w:numFmt w:val="lowerRoman"/>
      <w:lvlText w:val="%6."/>
      <w:lvlJc w:val="right"/>
      <w:pPr>
        <w:ind w:left="4320" w:hanging="180"/>
      </w:pPr>
    </w:lvl>
    <w:lvl w:ilvl="6" w:tplc="D100853C">
      <w:start w:val="1"/>
      <w:numFmt w:val="decimal"/>
      <w:lvlText w:val="%7."/>
      <w:lvlJc w:val="left"/>
      <w:pPr>
        <w:ind w:left="5040" w:hanging="360"/>
      </w:pPr>
    </w:lvl>
    <w:lvl w:ilvl="7" w:tplc="D3AE75AC">
      <w:start w:val="1"/>
      <w:numFmt w:val="lowerLetter"/>
      <w:lvlText w:val="%8."/>
      <w:lvlJc w:val="left"/>
      <w:pPr>
        <w:ind w:left="5760" w:hanging="360"/>
      </w:pPr>
    </w:lvl>
    <w:lvl w:ilvl="8" w:tplc="C4A0BC6C">
      <w:start w:val="1"/>
      <w:numFmt w:val="lowerRoman"/>
      <w:lvlText w:val="%9."/>
      <w:lvlJc w:val="right"/>
      <w:pPr>
        <w:ind w:left="6480" w:hanging="180"/>
      </w:pPr>
    </w:lvl>
  </w:abstractNum>
  <w:abstractNum w:abstractNumId="1" w15:restartNumberingAfterBreak="0">
    <w:nsid w:val="019C5DA9"/>
    <w:multiLevelType w:val="multilevel"/>
    <w:tmpl w:val="B5BA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25159"/>
    <w:multiLevelType w:val="hybridMultilevel"/>
    <w:tmpl w:val="0136D06A"/>
    <w:lvl w:ilvl="0" w:tplc="0DDC3640">
      <w:start w:val="1"/>
      <w:numFmt w:val="decimal"/>
      <w:lvlText w:val="%1."/>
      <w:lvlJc w:val="left"/>
      <w:pPr>
        <w:ind w:left="720" w:hanging="360"/>
      </w:pPr>
    </w:lvl>
    <w:lvl w:ilvl="1" w:tplc="A30C9C88">
      <w:start w:val="1"/>
      <w:numFmt w:val="lowerLetter"/>
      <w:lvlText w:val="%2."/>
      <w:lvlJc w:val="left"/>
      <w:pPr>
        <w:ind w:left="1440" w:hanging="360"/>
      </w:pPr>
    </w:lvl>
    <w:lvl w:ilvl="2" w:tplc="747E9530">
      <w:start w:val="1"/>
      <w:numFmt w:val="lowerRoman"/>
      <w:lvlText w:val="%3."/>
      <w:lvlJc w:val="right"/>
      <w:pPr>
        <w:ind w:left="2160" w:hanging="180"/>
      </w:pPr>
    </w:lvl>
    <w:lvl w:ilvl="3" w:tplc="E7821AC0">
      <w:start w:val="1"/>
      <w:numFmt w:val="decimal"/>
      <w:lvlText w:val="%4."/>
      <w:lvlJc w:val="left"/>
      <w:pPr>
        <w:ind w:left="2880" w:hanging="360"/>
      </w:pPr>
    </w:lvl>
    <w:lvl w:ilvl="4" w:tplc="B654580C">
      <w:start w:val="1"/>
      <w:numFmt w:val="lowerLetter"/>
      <w:lvlText w:val="%5."/>
      <w:lvlJc w:val="left"/>
      <w:pPr>
        <w:ind w:left="3600" w:hanging="360"/>
      </w:pPr>
    </w:lvl>
    <w:lvl w:ilvl="5" w:tplc="4E487006">
      <w:start w:val="1"/>
      <w:numFmt w:val="lowerRoman"/>
      <w:lvlText w:val="%6."/>
      <w:lvlJc w:val="right"/>
      <w:pPr>
        <w:ind w:left="4320" w:hanging="180"/>
      </w:pPr>
    </w:lvl>
    <w:lvl w:ilvl="6" w:tplc="F8BAACAA">
      <w:start w:val="1"/>
      <w:numFmt w:val="decimal"/>
      <w:lvlText w:val="%7."/>
      <w:lvlJc w:val="left"/>
      <w:pPr>
        <w:ind w:left="5040" w:hanging="360"/>
      </w:pPr>
    </w:lvl>
    <w:lvl w:ilvl="7" w:tplc="7DD83E08">
      <w:start w:val="1"/>
      <w:numFmt w:val="lowerLetter"/>
      <w:lvlText w:val="%8."/>
      <w:lvlJc w:val="left"/>
      <w:pPr>
        <w:ind w:left="5760" w:hanging="360"/>
      </w:pPr>
    </w:lvl>
    <w:lvl w:ilvl="8" w:tplc="1A92DB42">
      <w:start w:val="1"/>
      <w:numFmt w:val="lowerRoman"/>
      <w:lvlText w:val="%9."/>
      <w:lvlJc w:val="right"/>
      <w:pPr>
        <w:ind w:left="6480" w:hanging="180"/>
      </w:pPr>
    </w:lvl>
  </w:abstractNum>
  <w:abstractNum w:abstractNumId="3" w15:restartNumberingAfterBreak="0">
    <w:nsid w:val="23621B66"/>
    <w:multiLevelType w:val="hybridMultilevel"/>
    <w:tmpl w:val="A0683A06"/>
    <w:lvl w:ilvl="0" w:tplc="44980DD2">
      <w:start w:val="1"/>
      <w:numFmt w:val="decimal"/>
      <w:lvlText w:val="%1."/>
      <w:lvlJc w:val="left"/>
      <w:pPr>
        <w:ind w:left="720" w:hanging="360"/>
      </w:pPr>
    </w:lvl>
    <w:lvl w:ilvl="1" w:tplc="77D6B92E">
      <w:start w:val="1"/>
      <w:numFmt w:val="lowerLetter"/>
      <w:lvlText w:val="%2."/>
      <w:lvlJc w:val="left"/>
      <w:pPr>
        <w:ind w:left="1440" w:hanging="360"/>
      </w:pPr>
    </w:lvl>
    <w:lvl w:ilvl="2" w:tplc="A000CA0E">
      <w:start w:val="1"/>
      <w:numFmt w:val="lowerRoman"/>
      <w:lvlText w:val="%3."/>
      <w:lvlJc w:val="right"/>
      <w:pPr>
        <w:ind w:left="2160" w:hanging="180"/>
      </w:pPr>
    </w:lvl>
    <w:lvl w:ilvl="3" w:tplc="FEEE914E">
      <w:start w:val="1"/>
      <w:numFmt w:val="decimal"/>
      <w:lvlText w:val="%4."/>
      <w:lvlJc w:val="left"/>
      <w:pPr>
        <w:ind w:left="2880" w:hanging="360"/>
      </w:pPr>
    </w:lvl>
    <w:lvl w:ilvl="4" w:tplc="F00A6C70">
      <w:start w:val="1"/>
      <w:numFmt w:val="lowerLetter"/>
      <w:lvlText w:val="%5."/>
      <w:lvlJc w:val="left"/>
      <w:pPr>
        <w:ind w:left="3600" w:hanging="360"/>
      </w:pPr>
    </w:lvl>
    <w:lvl w:ilvl="5" w:tplc="A3209AEC">
      <w:start w:val="1"/>
      <w:numFmt w:val="lowerRoman"/>
      <w:lvlText w:val="%6."/>
      <w:lvlJc w:val="right"/>
      <w:pPr>
        <w:ind w:left="4320" w:hanging="180"/>
      </w:pPr>
    </w:lvl>
    <w:lvl w:ilvl="6" w:tplc="E4AE95AE">
      <w:start w:val="1"/>
      <w:numFmt w:val="decimal"/>
      <w:lvlText w:val="%7."/>
      <w:lvlJc w:val="left"/>
      <w:pPr>
        <w:ind w:left="5040" w:hanging="360"/>
      </w:pPr>
    </w:lvl>
    <w:lvl w:ilvl="7" w:tplc="E2E63066">
      <w:start w:val="1"/>
      <w:numFmt w:val="lowerLetter"/>
      <w:lvlText w:val="%8."/>
      <w:lvlJc w:val="left"/>
      <w:pPr>
        <w:ind w:left="5760" w:hanging="360"/>
      </w:pPr>
    </w:lvl>
    <w:lvl w:ilvl="8" w:tplc="16F65856">
      <w:start w:val="1"/>
      <w:numFmt w:val="lowerRoman"/>
      <w:lvlText w:val="%9."/>
      <w:lvlJc w:val="right"/>
      <w:pPr>
        <w:ind w:left="6480" w:hanging="180"/>
      </w:pPr>
    </w:lvl>
  </w:abstractNum>
  <w:abstractNum w:abstractNumId="4" w15:restartNumberingAfterBreak="0">
    <w:nsid w:val="266F2900"/>
    <w:multiLevelType w:val="hybridMultilevel"/>
    <w:tmpl w:val="FFFFFFFF"/>
    <w:lvl w:ilvl="0" w:tplc="30024630">
      <w:start w:val="1"/>
      <w:numFmt w:val="decimal"/>
      <w:lvlText w:val="%1."/>
      <w:lvlJc w:val="left"/>
      <w:pPr>
        <w:ind w:left="720" w:hanging="360"/>
      </w:pPr>
    </w:lvl>
    <w:lvl w:ilvl="1" w:tplc="26CE15EE">
      <w:start w:val="1"/>
      <w:numFmt w:val="lowerLetter"/>
      <w:lvlText w:val="%2."/>
      <w:lvlJc w:val="left"/>
      <w:pPr>
        <w:ind w:left="1440" w:hanging="360"/>
      </w:pPr>
    </w:lvl>
    <w:lvl w:ilvl="2" w:tplc="AACA92F0">
      <w:start w:val="1"/>
      <w:numFmt w:val="lowerRoman"/>
      <w:lvlText w:val="%3."/>
      <w:lvlJc w:val="right"/>
      <w:pPr>
        <w:ind w:left="2160" w:hanging="180"/>
      </w:pPr>
    </w:lvl>
    <w:lvl w:ilvl="3" w:tplc="96469470">
      <w:start w:val="1"/>
      <w:numFmt w:val="decimal"/>
      <w:lvlText w:val="%4."/>
      <w:lvlJc w:val="left"/>
      <w:pPr>
        <w:ind w:left="2880" w:hanging="360"/>
      </w:pPr>
    </w:lvl>
    <w:lvl w:ilvl="4" w:tplc="18144140">
      <w:start w:val="1"/>
      <w:numFmt w:val="lowerLetter"/>
      <w:lvlText w:val="%5."/>
      <w:lvlJc w:val="left"/>
      <w:pPr>
        <w:ind w:left="3600" w:hanging="360"/>
      </w:pPr>
    </w:lvl>
    <w:lvl w:ilvl="5" w:tplc="C3563180">
      <w:start w:val="1"/>
      <w:numFmt w:val="lowerRoman"/>
      <w:lvlText w:val="%6."/>
      <w:lvlJc w:val="right"/>
      <w:pPr>
        <w:ind w:left="4320" w:hanging="180"/>
      </w:pPr>
    </w:lvl>
    <w:lvl w:ilvl="6" w:tplc="795C5066">
      <w:start w:val="1"/>
      <w:numFmt w:val="decimal"/>
      <w:lvlText w:val="%7."/>
      <w:lvlJc w:val="left"/>
      <w:pPr>
        <w:ind w:left="5040" w:hanging="360"/>
      </w:pPr>
    </w:lvl>
    <w:lvl w:ilvl="7" w:tplc="D482098C">
      <w:start w:val="1"/>
      <w:numFmt w:val="lowerLetter"/>
      <w:lvlText w:val="%8."/>
      <w:lvlJc w:val="left"/>
      <w:pPr>
        <w:ind w:left="5760" w:hanging="360"/>
      </w:pPr>
    </w:lvl>
    <w:lvl w:ilvl="8" w:tplc="972AB388">
      <w:start w:val="1"/>
      <w:numFmt w:val="lowerRoman"/>
      <w:lvlText w:val="%9."/>
      <w:lvlJc w:val="right"/>
      <w:pPr>
        <w:ind w:left="6480" w:hanging="180"/>
      </w:pPr>
    </w:lvl>
  </w:abstractNum>
  <w:abstractNum w:abstractNumId="5" w15:restartNumberingAfterBreak="0">
    <w:nsid w:val="5C8B00BE"/>
    <w:multiLevelType w:val="multilevel"/>
    <w:tmpl w:val="5E1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5511F"/>
    <w:multiLevelType w:val="multilevel"/>
    <w:tmpl w:val="A0EA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A08BC"/>
    <w:multiLevelType w:val="multilevel"/>
    <w:tmpl w:val="A71A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8627CA"/>
    <w:multiLevelType w:val="multilevel"/>
    <w:tmpl w:val="6C4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8"/>
  </w:num>
  <w:num w:numId="5">
    <w:abstractNumId w:val="5"/>
  </w:num>
  <w:num w:numId="6">
    <w:abstractNumId w:val="7"/>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E6"/>
    <w:rsid w:val="000765DC"/>
    <w:rsid w:val="000B5650"/>
    <w:rsid w:val="00130F21"/>
    <w:rsid w:val="00181C02"/>
    <w:rsid w:val="004A2BE9"/>
    <w:rsid w:val="004A773A"/>
    <w:rsid w:val="00566EE6"/>
    <w:rsid w:val="00663E70"/>
    <w:rsid w:val="006A2CBB"/>
    <w:rsid w:val="008013AE"/>
    <w:rsid w:val="00845E96"/>
    <w:rsid w:val="00974CF3"/>
    <w:rsid w:val="009773FC"/>
    <w:rsid w:val="00AD3F77"/>
    <w:rsid w:val="00B61B3A"/>
    <w:rsid w:val="00C2717F"/>
    <w:rsid w:val="00C72DC7"/>
    <w:rsid w:val="00D070C0"/>
    <w:rsid w:val="00E113A4"/>
    <w:rsid w:val="00E77A93"/>
    <w:rsid w:val="00E90C58"/>
    <w:rsid w:val="00EF7771"/>
    <w:rsid w:val="041AF8A9"/>
    <w:rsid w:val="0CBAC2E6"/>
    <w:rsid w:val="0D447EE9"/>
    <w:rsid w:val="0FFC5307"/>
    <w:rsid w:val="13B55DA4"/>
    <w:rsid w:val="1430C5D3"/>
    <w:rsid w:val="14E68EA7"/>
    <w:rsid w:val="179CD468"/>
    <w:rsid w:val="22453B87"/>
    <w:rsid w:val="22593DF7"/>
    <w:rsid w:val="22E9C0D6"/>
    <w:rsid w:val="2358F585"/>
    <w:rsid w:val="24C0D7F8"/>
    <w:rsid w:val="3095795D"/>
    <w:rsid w:val="35F6BF1D"/>
    <w:rsid w:val="36123D92"/>
    <w:rsid w:val="36F8C88A"/>
    <w:rsid w:val="3703AA6D"/>
    <w:rsid w:val="3A18D486"/>
    <w:rsid w:val="3D53A115"/>
    <w:rsid w:val="3E1EF56E"/>
    <w:rsid w:val="43B0425D"/>
    <w:rsid w:val="4B31FDDC"/>
    <w:rsid w:val="50BC5A5F"/>
    <w:rsid w:val="51815968"/>
    <w:rsid w:val="53F2771C"/>
    <w:rsid w:val="57477B60"/>
    <w:rsid w:val="6B70B9CF"/>
    <w:rsid w:val="7A76925E"/>
    <w:rsid w:val="7EDE327D"/>
    <w:rsid w:val="7FC79D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AD50"/>
  <w15:chartTrackingRefBased/>
  <w15:docId w15:val="{C621DBF6-2AF1-40FF-8795-F5BFFD634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6EE6"/>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eastAsia="en-GB"/>
    </w:rPr>
  </w:style>
  <w:style w:type="paragraph" w:styleId="Heading2">
    <w:name w:val="heading 2"/>
    <w:basedOn w:val="Normal"/>
    <w:link w:val="Heading2Char"/>
    <w:uiPriority w:val="9"/>
    <w:qFormat/>
    <w:rsid w:val="00566EE6"/>
    <w:pPr>
      <w:spacing w:before="100" w:beforeAutospacing="1" w:after="100" w:afterAutospacing="1" w:line="240" w:lineRule="auto"/>
      <w:outlineLvl w:val="1"/>
    </w:pPr>
    <w:rPr>
      <w:rFonts w:ascii="Times New Roman" w:eastAsia="Times New Roman" w:hAnsi="Times New Roman" w:cs="Times New Roman"/>
      <w:b/>
      <w:bCs/>
      <w:color w:val="auto"/>
      <w:sz w:val="36"/>
      <w:szCs w:val="36"/>
      <w:lang w:eastAsia="en-GB"/>
    </w:rPr>
  </w:style>
  <w:style w:type="paragraph" w:styleId="Heading3">
    <w:name w:val="heading 3"/>
    <w:basedOn w:val="Normal"/>
    <w:link w:val="Heading3Char"/>
    <w:uiPriority w:val="9"/>
    <w:qFormat/>
    <w:rsid w:val="00566EE6"/>
    <w:pPr>
      <w:spacing w:before="100" w:beforeAutospacing="1" w:after="100" w:afterAutospacing="1" w:line="240" w:lineRule="auto"/>
      <w:outlineLvl w:val="2"/>
    </w:pPr>
    <w:rPr>
      <w:rFonts w:ascii="Times New Roman" w:eastAsia="Times New Roman" w:hAnsi="Times New Roman" w:cs="Times New Roman"/>
      <w:b/>
      <w:bCs/>
      <w:color w:val="auto"/>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EE6"/>
    <w:rPr>
      <w:rFonts w:ascii="Times New Roman" w:eastAsia="Times New Roman" w:hAnsi="Times New Roman" w:cs="Times New Roman"/>
      <w:b/>
      <w:bCs/>
      <w:color w:val="auto"/>
      <w:kern w:val="36"/>
      <w:sz w:val="48"/>
      <w:szCs w:val="48"/>
      <w:lang w:eastAsia="en-GB"/>
    </w:rPr>
  </w:style>
  <w:style w:type="character" w:customStyle="1" w:styleId="Heading2Char">
    <w:name w:val="Heading 2 Char"/>
    <w:basedOn w:val="DefaultParagraphFont"/>
    <w:link w:val="Heading2"/>
    <w:uiPriority w:val="9"/>
    <w:rsid w:val="00566EE6"/>
    <w:rPr>
      <w:rFonts w:ascii="Times New Roman" w:eastAsia="Times New Roman" w:hAnsi="Times New Roman" w:cs="Times New Roman"/>
      <w:b/>
      <w:bCs/>
      <w:color w:val="auto"/>
      <w:sz w:val="36"/>
      <w:szCs w:val="36"/>
      <w:lang w:eastAsia="en-GB"/>
    </w:rPr>
  </w:style>
  <w:style w:type="character" w:customStyle="1" w:styleId="Heading3Char">
    <w:name w:val="Heading 3 Char"/>
    <w:basedOn w:val="DefaultParagraphFont"/>
    <w:link w:val="Heading3"/>
    <w:uiPriority w:val="9"/>
    <w:rsid w:val="00566EE6"/>
    <w:rPr>
      <w:rFonts w:ascii="Times New Roman" w:eastAsia="Times New Roman" w:hAnsi="Times New Roman" w:cs="Times New Roman"/>
      <w:b/>
      <w:bCs/>
      <w:color w:val="auto"/>
      <w:sz w:val="27"/>
      <w:szCs w:val="27"/>
      <w:lang w:eastAsia="en-GB"/>
    </w:rPr>
  </w:style>
  <w:style w:type="character" w:styleId="Hyperlink">
    <w:name w:val="Hyperlink"/>
    <w:basedOn w:val="DefaultParagraphFont"/>
    <w:uiPriority w:val="99"/>
    <w:semiHidden/>
    <w:unhideWhenUsed/>
    <w:rsid w:val="00566EE6"/>
    <w:rPr>
      <w:color w:val="0000FF"/>
      <w:u w:val="single"/>
    </w:rPr>
  </w:style>
  <w:style w:type="character" w:customStyle="1" w:styleId="m-icon-with-texttext">
    <w:name w:val="m-icon-with-text__text"/>
    <w:basedOn w:val="DefaultParagraphFont"/>
    <w:rsid w:val="00566EE6"/>
  </w:style>
  <w:style w:type="paragraph" w:styleId="NormalWeb">
    <w:name w:val="Normal (Web)"/>
    <w:basedOn w:val="Normal"/>
    <w:uiPriority w:val="99"/>
    <w:semiHidden/>
    <w:unhideWhenUsed/>
    <w:rsid w:val="00566EE6"/>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HTMLCode">
    <w:name w:val="HTML Code"/>
    <w:basedOn w:val="DefaultParagraphFont"/>
    <w:uiPriority w:val="99"/>
    <w:semiHidden/>
    <w:unhideWhenUsed/>
    <w:rsid w:val="00566EE6"/>
    <w:rPr>
      <w:rFonts w:ascii="Courier New" w:eastAsia="Times New Roman" w:hAnsi="Courier New" w:cs="Courier New"/>
      <w:sz w:val="20"/>
      <w:szCs w:val="20"/>
    </w:rPr>
  </w:style>
  <w:style w:type="character" w:styleId="Emphasis">
    <w:name w:val="Emphasis"/>
    <w:basedOn w:val="DefaultParagraphFont"/>
    <w:uiPriority w:val="20"/>
    <w:qFormat/>
    <w:rsid w:val="00566EE6"/>
    <w:rPr>
      <w:i/>
      <w:iCs/>
    </w:rPr>
  </w:style>
  <w:style w:type="character" w:styleId="Strong">
    <w:name w:val="Strong"/>
    <w:basedOn w:val="DefaultParagraphFont"/>
    <w:uiPriority w:val="22"/>
    <w:qFormat/>
    <w:rsid w:val="00566EE6"/>
    <w:rPr>
      <w:b/>
      <w:bCs/>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AD3F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074403">
      <w:bodyDiv w:val="1"/>
      <w:marLeft w:val="0"/>
      <w:marRight w:val="0"/>
      <w:marTop w:val="0"/>
      <w:marBottom w:val="0"/>
      <w:divBdr>
        <w:top w:val="none" w:sz="0" w:space="0" w:color="auto"/>
        <w:left w:val="none" w:sz="0" w:space="0" w:color="auto"/>
        <w:bottom w:val="none" w:sz="0" w:space="0" w:color="auto"/>
        <w:right w:val="none" w:sz="0" w:space="0" w:color="auto"/>
      </w:divBdr>
      <w:divsChild>
        <w:div w:id="162362497">
          <w:marLeft w:val="0"/>
          <w:marRight w:val="0"/>
          <w:marTop w:val="0"/>
          <w:marBottom w:val="0"/>
          <w:divBdr>
            <w:top w:val="none" w:sz="0" w:space="0" w:color="auto"/>
            <w:left w:val="none" w:sz="0" w:space="0" w:color="auto"/>
            <w:bottom w:val="none" w:sz="0" w:space="0" w:color="auto"/>
            <w:right w:val="none" w:sz="0" w:space="0" w:color="auto"/>
          </w:divBdr>
        </w:div>
        <w:div w:id="2118671056">
          <w:marLeft w:val="0"/>
          <w:marRight w:val="0"/>
          <w:marTop w:val="0"/>
          <w:marBottom w:val="0"/>
          <w:divBdr>
            <w:top w:val="none" w:sz="0" w:space="0" w:color="auto"/>
            <w:left w:val="none" w:sz="0" w:space="0" w:color="auto"/>
            <w:bottom w:val="none" w:sz="0" w:space="0" w:color="auto"/>
            <w:right w:val="none" w:sz="0" w:space="0" w:color="auto"/>
          </w:divBdr>
          <w:divsChild>
            <w:div w:id="1518349535">
              <w:marLeft w:val="0"/>
              <w:marRight w:val="0"/>
              <w:marTop w:val="0"/>
              <w:marBottom w:val="0"/>
              <w:divBdr>
                <w:top w:val="none" w:sz="0" w:space="0" w:color="auto"/>
                <w:left w:val="none" w:sz="0" w:space="0" w:color="auto"/>
                <w:bottom w:val="none" w:sz="0" w:space="0" w:color="auto"/>
                <w:right w:val="none" w:sz="0" w:space="0" w:color="auto"/>
              </w:divBdr>
            </w:div>
            <w:div w:id="18058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mate.esa.int/en/odp/"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imate.esa.int/odp/"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opendap.org/"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0398B8EA2737947995C227484EA02C8" ma:contentTypeVersion="14" ma:contentTypeDescription="Ein neues Dokument erstellen." ma:contentTypeScope="" ma:versionID="7cf37283d387d92343090a3dc6516ccf">
  <xsd:schema xmlns:xsd="http://www.w3.org/2001/XMLSchema" xmlns:xs="http://www.w3.org/2001/XMLSchema" xmlns:p="http://schemas.microsoft.com/office/2006/metadata/properties" xmlns:ns2="80b53ead-ac38-442a-b597-5a0e2e0802cd" xmlns:ns3="5ec1cc48-4270-4222-9ed5-54ce9e59d47b" targetNamespace="http://schemas.microsoft.com/office/2006/metadata/properties" ma:root="true" ma:fieldsID="7a11d3cdaea22f9eeaeb191b8440d1a8" ns2:_="" ns3:_="">
    <xsd:import namespace="80b53ead-ac38-442a-b597-5a0e2e0802cd"/>
    <xsd:import namespace="5ec1cc48-4270-4222-9ed5-54ce9e59d4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53ead-ac38-442a-b597-5a0e2e080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c1cc48-4270-4222-9ed5-54ce9e59d47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F13E72-0867-485A-8A51-6E9B7C354B3F}">
  <ds:schemaRefs>
    <ds:schemaRef ds:uri="http://schemas.microsoft.com/sharepoint/v3/contenttype/forms"/>
  </ds:schemaRefs>
</ds:datastoreItem>
</file>

<file path=customXml/itemProps2.xml><?xml version="1.0" encoding="utf-8"?>
<ds:datastoreItem xmlns:ds="http://schemas.openxmlformats.org/officeDocument/2006/customXml" ds:itemID="{EE126B3D-702A-41EA-A178-EBF885F36D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53ead-ac38-442a-b597-5a0e2e0802cd"/>
    <ds:schemaRef ds:uri="5ec1cc48-4270-4222-9ed5-54ce9e59d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75C141-9381-4A9F-965A-657FCEDD9A22}">
  <ds:schemaRefs>
    <ds:schemaRef ds:uri="http://schemas.microsoft.com/office/2006/metadata/properties"/>
    <ds:schemaRef ds:uri="http://purl.org/dc/dcmitype/"/>
    <ds:schemaRef ds:uri="http://purl.org/dc/elements/1.1/"/>
    <ds:schemaRef ds:uri="http://schemas.openxmlformats.org/package/2006/metadata/core-properties"/>
    <ds:schemaRef ds:uri="80b53ead-ac38-442a-b597-5a0e2e0802cd"/>
    <ds:schemaRef ds:uri="http://www.w3.org/XML/1998/namespace"/>
    <ds:schemaRef ds:uri="http://purl.org/dc/terms/"/>
    <ds:schemaRef ds:uri="http://schemas.microsoft.com/office/2006/documentManagement/types"/>
    <ds:schemaRef ds:uri="http://schemas.microsoft.com/office/infopath/2007/PartnerControls"/>
    <ds:schemaRef ds:uri="5ec1cc48-4270-4222-9ed5-54ce9e59d47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999</Words>
  <Characters>5699</Characters>
  <Application>Microsoft Office Word</Application>
  <DocSecurity>0</DocSecurity>
  <Lines>47</Lines>
  <Paragraphs>13</Paragraphs>
  <ScaleCrop>false</ScaleCrop>
  <Company/>
  <LinksUpToDate>false</LinksUpToDate>
  <CharactersWithSpaces>6685</CharactersWithSpaces>
  <SharedDoc>false</SharedDoc>
  <HLinks>
    <vt:vector size="18" baseType="variant">
      <vt:variant>
        <vt:i4>1900616</vt:i4>
      </vt:variant>
      <vt:variant>
        <vt:i4>6</vt:i4>
      </vt:variant>
      <vt:variant>
        <vt:i4>0</vt:i4>
      </vt:variant>
      <vt:variant>
        <vt:i4>5</vt:i4>
      </vt:variant>
      <vt:variant>
        <vt:lpwstr>https://climate.esa.int/odp/</vt:lpwstr>
      </vt:variant>
      <vt:variant>
        <vt:lpwstr/>
      </vt:variant>
      <vt:variant>
        <vt:i4>4456534</vt:i4>
      </vt:variant>
      <vt:variant>
        <vt:i4>3</vt:i4>
      </vt:variant>
      <vt:variant>
        <vt:i4>0</vt:i4>
      </vt:variant>
      <vt:variant>
        <vt:i4>5</vt:i4>
      </vt:variant>
      <vt:variant>
        <vt:lpwstr>https://www.opendap.org/</vt:lpwstr>
      </vt:variant>
      <vt:variant>
        <vt:lpwstr/>
      </vt:variant>
      <vt:variant>
        <vt:i4>5701698</vt:i4>
      </vt:variant>
      <vt:variant>
        <vt:i4>0</vt:i4>
      </vt:variant>
      <vt:variant>
        <vt:i4>0</vt:i4>
      </vt:variant>
      <vt:variant>
        <vt:i4>5</vt:i4>
      </vt:variant>
      <vt:variant>
        <vt:lpwstr>https://climate.esa.int/en/odp/</vt:lpwstr>
      </vt:variant>
      <vt:variant>
        <vt:lpwstr>/dashboard</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Eirini Politi</dc:creator>
  <cp:keywords/>
  <dc:description/>
  <cp:lastModifiedBy>Norman Fomferra</cp:lastModifiedBy>
  <cp:revision>2</cp:revision>
  <dcterms:created xsi:type="dcterms:W3CDTF">2021-12-09T14:18:00Z</dcterms:created>
  <dcterms:modified xsi:type="dcterms:W3CDTF">2021-12-09T14:18:00Z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0x01010050398B8EA2737947995C227484EA02C8</vt:lpwstr>
  </property>
</Properties>
</file>