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5"/>
        <w:gridCol w:w="5215"/>
        <w:gridCol w:w="5521"/>
        <w:gridCol w:w="2306"/>
        <w:gridCol w:w="2172"/>
        <w:gridCol w:w="2270"/>
        <w:gridCol w:w="234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Pooled prevalence with 95% CI (Fixed Effects)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Pooled prevalence with 95% CI (Random Effects)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Prevalence 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Tau (τ)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Tau² (τ²)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(29.8-30.4)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29% (25.8-32.3)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15.4%-49.8%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98.8% (98.7-99)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 (0.077-0.133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(0.006-0.018)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 (23.1-23.7)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(18.9-26.3)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6%-60.8%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99.1% (99-99.2)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(0.095-0.163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 (0.009-0.027)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Suicidal 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(12.9-13.4)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5.9%-25.7%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96.4% (95.5-97)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 (0.042-0.074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(0.002-0.005)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dependence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(2.7-2.9)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3.1% (2.6-3.8)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0.7%-7.3%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95.5% (94.4-96.4)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 (0.034-0.062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 (0.001-0.004)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2026-03-25T10:38:43Z</dcterms:modified>
  <cp:category/>
</cp:coreProperties>
</file>