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Bayesian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gridSpan w:val="1"/>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gridSpan w:val="3"/>
          </w:tcPr>
          <w:p>
            <w:pPr>
              <w:spacing w:before="0" w:after="60"/>
              <w:keepNext/>
              <w:jc w:val="center"/>
            </w:pPr>
            <w:r>
              <w:rPr>
                <w:b w:val="true"/>
                <w:rFonts w:ascii="Calibri" w:hAnsi="Calibri"/>
                <w:sz w:val="20"/>
              </w:rPr>
              <w:t xml:space="preserve">Doctor</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Nurse</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center"/>
            </w:pPr>
            <w:r>
              <w:rPr>
                <w:rFonts w:ascii="Calibri" w:hAnsi="Calibri"/>
                <w:sz w:val="20"/>
              </w:rPr>
              <w:t xml:space="default">Crude</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rFonts w:ascii="Calibri" w:hAnsi="Calibri"/>
                <w:sz w:val="20"/>
              </w:rPr>
              <w:t xml:space="default">Partially adjusted</w:t>
            </w:r>
            <w:r>
              <w:rPr>
                <w:vertAlign w:val="superscript"/>
                <w:i/>
                <w:rFonts w:ascii="Calibri" w:hAnsi="Calibri"/>
                <w:sz w:val="20"/>
              </w:rPr>
              <w:t xml:space="default">2</w:t>
            </w:r>
          </w:p>
        </w:tc>
        <w:tc>
          <w:tcPr>
            <w:tcBorders>
              <w:bottom w:val="single" w:sz="16" w:space="0" w:color="D3D3D3"/>
            </w:tcBorders>
          </w:tcPr>
          <w:p>
            <w:pPr>
              <w:spacing w:before="0" w:after="60"/>
              <w:keepNext/>
              <w:jc w:val="center"/>
            </w:pPr>
            <w:r>
              <w:rPr>
                <w:rFonts w:ascii="Calibri" w:hAnsi="Calibri"/>
                <w:sz w:val="20"/>
              </w:rPr>
              <w:t xml:space="default">Fully adjusted</w:t>
            </w:r>
            <w:r>
              <w:rPr>
                <w:vertAlign w:val="superscript"/>
                <w:i/>
                <w:rFonts w:ascii="Calibri" w:hAnsi="Calibri"/>
                <w:sz w:val="20"/>
              </w:rPr>
              <w:t xml:space="default">3</w:t>
            </w:r>
          </w:p>
        </w:tc>
        <w:tc>
          <w:tcPr>
            <w:tcBorders>
              <w:bottom w:val="single" w:sz="16" w:space="0" w:color="D3D3D3"/>
            </w:tcBorders>
          </w:tcPr>
          <w:p>
            <w:pPr>
              <w:spacing w:before="0" w:after="60"/>
              <w:keepNext/>
              <w:jc w:val="center"/>
            </w:pPr>
            <w:r>
              <w:rPr>
                <w:rFonts w:ascii="Calibri" w:hAnsi="Calibri"/>
                <w:sz w:val="20"/>
              </w:rPr>
              <w:t xml:space="default">Crude</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rFonts w:ascii="Calibri" w:hAnsi="Calibri"/>
                <w:sz w:val="20"/>
              </w:rPr>
              <w:t xml:space="default">Partially adjusted</w:t>
            </w:r>
            <w:r>
              <w:rPr>
                <w:vertAlign w:val="superscript"/>
                <w:i/>
                <w:rFonts w:ascii="Calibri" w:hAnsi="Calibri"/>
                <w:sz w:val="20"/>
              </w:rPr>
              <w:t xml:space="default">2</w:t>
            </w:r>
          </w:p>
        </w:tc>
        <w:tc>
          <w:tcPr>
            <w:tcBorders>
              <w:bottom w:val="single" w:sz="16" w:space="0" w:color="D3D3D3"/>
              <w:end w:val="single" w:space="0" w:color="D3D3D3"/>
            </w:tcBorders>
          </w:tcPr>
          <w:p>
            <w:pPr>
              <w:spacing w:before="0" w:after="60"/>
              <w:keepNext/>
              <w:jc w:val="center"/>
            </w:pPr>
            <w:r>
              <w:rPr>
                <w:rFonts w:ascii="Calibri" w:hAnsi="Calibri"/>
                <w:sz w:val="20"/>
              </w:rPr>
              <w:t xml:space="default">Fully adjusted</w:t>
            </w:r>
            <w:r>
              <w:rPr>
                <w:vertAlign w:val="superscript"/>
                <w:i/>
                <w:rFonts w:ascii="Calibri" w:hAnsi="Calibri"/>
                <w:sz w:val="20"/>
              </w:rPr>
              <w:t xml:space="default">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Depression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(2.06, 2.37)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2.01 (1.87, 2.17)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 (1.87, 2.17)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(2.42, 2.86)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 (2.29, 2.69)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 (2.28, 2.69)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(1.61, 1.95)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(1.34,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(1.34, 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2.35 (2.11, 2.61)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(1.83, 2.30)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(1.84, 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(1.83,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 (1.70, 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 (1.70, 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2.26 (2.05, 2.48)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(1.90,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(1.91, 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 (1.41, 1.93)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 (1.24, 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(1.25,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(1.88,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(1.70,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(1.69, 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0.63 (0.59,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(0.62,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(0.61,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(0.54,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(0.54,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(0.44,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(0.38, 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(0.41,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(0.44,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(0.44,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(0.42,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0.55)</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Anxiety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(2.12, 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 (1.91, 2.27)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(1.91, 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2.74 (2.50, 3.01)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(2.39, 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 (2.40, 2.92)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(1.74, 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 (1.42,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 (1.42,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2.49 (2.20, 2.80)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2.24 (1.96, 2.56)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(1.97, 2.57)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(1.87, 2.24)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(1.74, 2.09)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 (1.75, 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 (2.08, 2.57)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(1.98, 2.49)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(1.99, 2.52)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(1.58, 2.27)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(1.41, 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(1.46, 2.09)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(1.83, 2.57)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(1.72, 2.46)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 (1.75, 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0.63 (0.57,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(0.60,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(0.60,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(0.52,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(0.53,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(0.53,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(0.52, 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(0.54,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(0.47,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(0.47, 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(0.43,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(0.41,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(0.39,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(0.45, 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(0.45, 0.59)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Suicide thoughts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(2.18, 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2.20 (1.95, 2.47)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2.20 (1.94, 2.48)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3.30 (2.90, 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3.08 (2.70, 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3.05 (2.69, 3.46)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2.55 (2.20, 2.94)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(1.82, 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(1.81, 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(2.71, 3.77)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(2.33, 3.26)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 (2.30, 3.21)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(2.16, 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2.15 (1.90,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2.16 (1.90,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2.80 (2.42, 3.21)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 (2.19, 2.95)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(2.16, 2.92)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(2.19, 3.31)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(1.82, 2.77)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2.26 (1.81, 2.79)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 (2.35, 3.67)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2.57 (2.06, 3.20)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 (2.05, 3.19)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(0.54,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(0.57,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(0.57,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(0.45, 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 (0.46, 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 (0.46, 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(0.50,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(0.54,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(0.54,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(0.47, 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(0.49,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(0.49,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 (0.36,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(0.38,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(0.38,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(0.39,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(0.41,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(0.41, 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 (0.31, 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(0.34,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0.40 (0.34,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 (0.36,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(0.38,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(0.38, 0.54)</w:t>
            </w:r>
          </w:p>
        </w:tc>
      </w:tr>
      <w:tr>
        <w:trPr>
          <w:cantSplit/>
        </w:trPr>
        <w:tc>
          <w:tcPr>
            <w:gridSpan w:val="7"/>
          </w:tcPr>
          <w:p>
            <w:pPr>
              <w:spacing w:before="0" w:after="60"/>
              <w:keepNext/>
            </w:pPr>
            <w:r>
              <w:rPr>
                <w:rFonts w:ascii="Calibri" w:hAnsi="Calibri"/>
                <w:sz w:val="20"/>
              </w:rPr>
              <w:t xml:space="default">Posterior Median PR (95% CrI). Models specified with weakly informative priors: These represent prior beliefs of the estimates. Using them gives more flexibility for the data. All models include Region as a second order covariate.</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Region as second-order covariate only.</w:t>
            </w:r>
          </w:p>
        </w:tc>
      </w:tr>
      <w:tr>
        <w:trPr>
          <w:cantSplit/>
        </w:trPr>
        <w:tc>
          <w:tcPr>
            <w:gridSpan w:val="7"/>
          </w:tcPr>
          <w:p>
            <w:pPr>
              <w:spacing w:before="0" w:after="60"/>
              <w:keepNext/>
            </w:pPr>
            <w:r>
              <w:rPr>
                <w:vertAlign w:val="superscript"/>
                <w:i/>
                <w:rFonts w:ascii="Calibri" w:hAnsi="Calibri"/>
                <w:sz w:val="20"/>
              </w:rPr>
              <w:t xml:space="default">2</w:t>
            </w:r>
            <w:r>
              <w:rPr>
                <w:rFonts w:ascii="Calibri" w:hAnsi="Calibri"/>
                <w:sz w:val="20"/>
              </w:rPr>
              <w:t xml:space="default">Adjusted by Gender, Age group and Proximity to combat areas and occupied territories .</w:t>
            </w:r>
          </w:p>
        </w:tc>
      </w:tr>
      <w:tr>
        <w:trPr>
          <w:cantSplit/>
        </w:trPr>
        <w:tc>
          <w:tcPr>
            <w:gridSpan w:val="7"/>
          </w:tcPr>
          <w:p>
            <w:pPr>
              <w:spacing w:before="0" w:after="60"/>
              <w:keepNext/>
            </w:pPr>
            <w:r>
              <w:rPr>
                <w:vertAlign w:val="superscript"/>
                <w:i/>
                <w:rFonts w:ascii="Calibri" w:hAnsi="Calibri"/>
                <w:sz w:val="20"/>
              </w:rPr>
              <w:t xml:space="default">3</w:t>
            </w:r>
            <w:r>
              <w:rPr>
                <w:rFonts w:ascii="Calibri" w:hAnsi="Calibri"/>
                <w:sz w:val="20"/>
              </w:rPr>
              <w:t xml:space="default">Partially adjusted models plus specific covariates: Bullying and sexual harassment adjusted by Healthcare setting, Post-graduate training and Length of service. Violent threats and physical violence adjusted by Healthcare setting. Support from colleagues or superiors adjusted by Healthcare setting and Length of service. Finding meaning or purpose in job adjusted by Healthcare setting, Relationship status, Having children, and Length of service.</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2026-02-09T14:56:54Z</dcterms:created>
  <dcterms:modified xsi:type="dcterms:W3CDTF">2026-02-09T14:56:54Z</dcterms:modified>
</cp:coreProperties>
</file>

<file path=docProps/custom.xml><?xml version="1.0" encoding="utf-8"?>
<Properties xmlns="http://schemas.openxmlformats.org/officeDocument/2006/custom-properties" xmlns:vt="http://schemas.openxmlformats.org/officeDocument/2006/docPropsVTypes"/>
</file>