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b w:val="true"/>
          <w:rFonts w:ascii="Calibri" w:hAnsi="Calibri"/>
          <w:sz w:val="24"/>
          <w:color w:val="333333"/>
        </w:rPr>
        <w:t xml:space="preserve">Absolute prevalence and prevalence difference for each exposure-outcome pair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  <w:end w:val="single" w:space="0" w:color="D3D3D3"/>
            </w:tcBorders>
            <w:vMerge w:val="restart"/>
            <w:vAlign w:val="bottom"/>
            <w:gridSpan w:val="1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Doctor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Nurse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  <w:end w:val="single" w:space="0" w:color="D3D3D3"/>
            </w:tcBorders>
            <w:vMerge w:val="continue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Unexposed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Exposed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Difference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Unexposed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Exposed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Difference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Depression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Bullying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44.6%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26.7%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Sexual Harassment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44.5%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23.1%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Violent threats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43.4%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Physical violence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34.9%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52.1%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22.9%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Colleague support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44.4%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12.3%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Support from superiors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43.9%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30.5%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14.7%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Meaning in work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Purpose in work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39.4%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20.1%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Anxiety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Bullying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39.5%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Sexual Harassment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37.6%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34.9%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19.6%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Violent threats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39.9%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18.5%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Physical violence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34.5%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18.4%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Colleague support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9.4%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Support from superiors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10.8%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Meaning in work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39.6%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Purpose in work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13.6%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Suicide thoughts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Bullying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12.5%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Sexual Harassment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13.1%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Violent threats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Physical violence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13.2%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Colleague support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5.5%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Support from superiors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4.9%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Meaning in work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6.8%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Purpose in work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8.5%</w:t>
            </w:r>
          </w:p>
        </w:tc>
      </w:tr>
      <w:tr>
        <w:trPr>
          <w:cantSplit/>
        </w:trPr>
        <w:tc>
          <w:tcP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Estimates from fully adjusted multilevel models.</w:t>
            </w:r>
          </w:p>
        </w:tc>
      </w:tr>
      <w:tr>
        <w:trPr>
          <w:cantSplit/>
        </w:trPr>
        <w:tc>
          <w:tcPr>
            <w:gridSpan w:val="7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i/>
                <w:rFonts w:ascii="Calibri" w:hAnsi="Calibri"/>
                <w:sz w:val="20"/>
              </w:rPr>
              <w:t xml:space="preserve">Prevalence difference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2026-02-10T14:27:51Z</dcterms:created>
  <dcterms:modified xsi:type="dcterms:W3CDTF">2026-02-10T14:27:51Z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