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spacing w:before="0" w:after="60"/>
        <w:keepNext/>
        <w:jc w:val="start"/>
        <w:pStyle w:val="caption"/>
      </w:pPr>
      <w:r>
        <w:rPr>
          <w:rFonts w:ascii="Calibri" w:hAnsi="Calibri"/>
          <w:sz w:val="24"/>
        </w:rPr>
        <w:t xml:space="preserve">Table </w:t>
      </w:r>
      <w:r>
        <w:fldChar w:fldCharType="begin" w:dirty="true"/>
      </w:r>
      <w:r>
        <w:instrText xml:space="preserve" w:dirty="true"> SEQ Table \* ARABIC </w:instrText>
      </w:r>
      <w:r>
        <w:fldChar w:fldCharType="separate" w:dirty="true"/>
      </w:r>
      <w:r>
        <w:rPr>
          <w:noProof/>
          <w:rFonts w:ascii="Calibri" w:hAnsi="Calibri"/>
          <w:sz w:val="24"/>
        </w:rPr>
        <w:t xml:space="default">1</w:t>
      </w:r>
      <w:r>
        <w:fldChar w:fldCharType="end" w:dirty="true"/>
      </w:r>
      <w:r>
        <w:rPr>
          <w:rFonts w:ascii="Calibri" w:hAnsi="Calibri"/>
          <w:sz w:val="24"/>
        </w:rPr>
        <w:t xml:space="preserve">: </w:t>
      </w:r>
      <w:r>
        <w:rPr>
          <w:b w:val="true"/>
          <w:rFonts w:ascii="Calibri" w:hAnsi="Calibri"/>
          <w:sz w:val="24"/>
          <w:color w:val="333333"/>
        </w:rPr>
        <w:t xml:space="preserve">Colleague support</w:t>
      </w:r>
    </w:p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start w:val="single" w:space="0" w:color="D3D3D3"/>
              <w:end w:val="single" w:space="0" w:color="D3D3D3"/>
            </w:tcBorders>
            <w:vMerge w:val="restart"/>
            <w:vAlign w:val="bottom"/>
            <w:gridSpan w:val="1"/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  <w:gridSpan w:val="3"/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Doctor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  <w:gridSpan w:val="3"/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Nurse</w:t>
            </w:r>
          </w:p>
        </w:tc>
      </w:tr>
      <w:tr>
        <w:trPr>
          <w:cantSplit/>
          <w:tblHeader/>
        </w:trPr>
        <w:tc>
          <w:tcPr>
            <w:tcBorders>
              <w:bottom w:val="single" w:sz="16" w:space="0" w:color="D3D3D3"/>
              <w:start w:val="single" w:space="0" w:color="D3D3D3"/>
              <w:end w:val="single" w:space="0" w:color="D3D3D3"/>
            </w:tcBorders>
            <w:vMerge w:val="continue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Male</w:t>
            </w:r>
          </w:p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(N = 2,259)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Female</w:t>
            </w:r>
          </w:p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(N = 6,804)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Overall</w:t>
            </w:r>
          </w:p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(N = 9,063)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Male</w:t>
            </w:r>
          </w:p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(N = 729)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Female</w:t>
            </w:r>
          </w:p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(N = 11,007)</w:t>
            </w:r>
          </w:p>
        </w:tc>
        <w:tc>
          <w:tcPr>
            <w:tcBorders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Overall</w:t>
            </w:r>
          </w:p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(N = 11,736)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7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>Overall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Overall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58.7% (56.3-61.1)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59.8% (58.0-61.6)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59.5% (58.1-60.9)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54.6% (50.7-58.5)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58.3% (57.2-59.3)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58.0% (57.0-59.0)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7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>Age groups (Recoded)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20-30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54.9% (48.6-61.2)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60.0% (57.1-62.9)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58.4% (55.8-61.0)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57.0% (50.3-63.5)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58.7% (55.8-61.6)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58.4% (55.6-61.2)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31-45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53.0% (48.9-57.1)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54.8% (52.7-57.0)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54.4% (52.7-56.0)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48.8% (41.1-56.6)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54.5% (52.9-56.1)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54.2% (52.5-55.8)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46-55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60.7% (57.3-64.1)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60.3% (57.2-63.4)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60.4% (58.0-62.9)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56.5% (47.6-65.1)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59.5% (57.9-61.2)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59.4% (58.0-60.7)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Over 55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65.8% (62.1-69.4)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65.0% (62.3-67.5)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65.2% (62.9-67.4)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58.2% (46.4-69.4)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64.4% (62.1-66.7)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64.1% (61.9-66.2)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7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>Relationship status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No partner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54.1% (48.9-59.3)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60.0% (57.0-63.0)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58.8% (56.0-61.5)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54.9% (48.2-61.5)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58.0% (55.9-60.1)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57.7% (55.7-59.8)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Has a partner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60.4% (58.2-62.5)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59.7% (57.9-61.5)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59.9% (58.6-61.2)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54.4% (49.5-59.2)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58.4% (57.1-59.7)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58.1% (56.9-59.3)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7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>Having children in the household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Has children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60.0% (57.7-62.3)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60.0% (57.9-62.0)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60.0% (58.5-61.5)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54.0% (48.7-59.2)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57.9% (56.5-59.3)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57.7% (56.4-59.0)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No children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56.7% (52.5-60.8)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59.5% (56.9-62.1)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58.7% (56.5-60.8)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55.4% (51.0-59.8)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59.3% (57.6-60.9)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58.8% (57.1-60.5)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7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>Post-graduate training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59.2% (56.7-61.7)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60.0% (58.1-61.9)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59.8% (58.4-61.1)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54.0% (49.7-58.4)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58.7% (57.5-60.0)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58.4% (57.4-59.4)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55.0% (48.7-61.2)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58.4% (53.3-63.3)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57.2% (52.9-61.6)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57.7% (43.9-70.8)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52.2% (47.8-56.5)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52.8% (49.0-56.7)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7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>Length of service (Recoded)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5 years or less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57.7% (52.6-62.8)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61.6% (58.4-64.7)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60.5% (58.0-62.9)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61.7% (51.7-71.0)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60.6% (56.6-64.4)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60.8% (56.6-64.9)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6-10 years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50.7% (44.1-57.2)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55.7% (50.3-61.0)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54.2% (49.2-59.1)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51.4% (35.6-66.9)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57.6% (54.2-61.0)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57.0% (53.7-60.3)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More than 10 years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60.5% (58.1-62.8)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60.1% (58.2-62.0)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60.2% (58.7-61.7)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53.0% (48.6-57.4)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58.1% (56.9-59.3)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57.8% (56.8-58.8)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7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>Healthcare setting (Recoded)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Outpatient care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58.3% (54.8-61.7)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58.2% (56.0-60.4)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58.2% (56.5-59.9)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66.7% (56.3-76.0)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59.2% (57.2-61.1)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59.4% (57.5-61.2)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In-hospital care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59.6% (55.7-63.4)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63.1% (60.3-65.9)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61.8% (59.6-64.0)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57.0% (47.5-66.1)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57.8% (55.8-59.8)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57.8% (55.8-59.8)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Emergencies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57.6% (53.0-62.0)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62.2% (57.0-67.2)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60.2% (56.7-63.6)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51.4% (48.6-54.1)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56.9% (55.2-58.5)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55.4% (53.9-56.9)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7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>Proximity to combat areas and occupied territories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No conflict zone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58.0% (55.4-60.5)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59.7% (57.5-61.9)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59.2% (57.6-60.8)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55.4% (50.8-60.0)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58.2% (56.9-59.6)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58.0% (56.9-59.2)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Conflict zone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63.2% (52.5-73.1)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60.5% (57.4-63.4)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61.1% (56.8-65.3)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50.8% (40.4-61.0)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58.3% (56.6-60.0)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57.8% (56.2-59.3)</w:t>
            </w:r>
          </w:p>
        </w:tc>
      </w:tr>
      <w:tr>
        <w:trPr>
          <w:cantSplit/>
        </w:trPr>
        <w:tc>
          <w:tcPr>
            <w:gridSpan w:val="7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>Weighted Prevalence (95% CI)</w:t>
            </w:r>
          </w:p>
        </w:tc>
      </w:tr>
    </w:tbl>
    <w:p>
      <w:pPr>
        <w:pStyle w:val="FirstParagraph"/>
      </w:pP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2026-02-10T14:07:38Z</dcterms:created>
  <dcterms:modified xsi:type="dcterms:W3CDTF">2026-02-10T14:07:38Z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