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GLM Multilevel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(2.07, 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(1.88,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(1.88,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(2.44, 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(2.29,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(2.30, 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(1.61, 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 (2.13, 2.66)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(1.85,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(1.86,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(1.85,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(1.71,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(2.08,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(1.92,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(1.93, 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 (1.44,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(1.27, 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(1.27,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(1.93, 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(1.74,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(1.74, 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(0.55,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(0.55,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(0.39,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(2.14,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(1.92,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(1.92,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2.77 (2.52, 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(2.41,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(2.42, 2.93)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 (1.75,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(1.43,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 (1.44,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(2.23, 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(1.99, 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(2.00, 2.60)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(1.89,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 (1.76,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(2.10, 2.62)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(2.01,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 (2.03, 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(1.64,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 (1.45,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 (1.49,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(1.89,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(1.77,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 (1.80, 2.56)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(0.52,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(0.41,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(0.43,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(0.44,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(2.21, 2.81)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 (2.97, 3.86)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(2.74, 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 (2.73, 3.56)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 (2.25,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 (1.84,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(1.83,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(2.82, 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(2.37, 3.32)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 (2.35, 3.30)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(2.20, 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(1.92, 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(1.92,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2.88 (2.49, 3.33)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(2.23,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(2.20, 2.99)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(2.31, 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(1.89, 2.90)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 (1.90,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 (2.52,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(2.17, 3.34)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(2.16, 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(0.53,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(0.56,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(0.46,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(0.46,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(0.50,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(0.48,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(0.35,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(0.37,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(0.40,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(0.40, 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(0.30, 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(0.33,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(0.33,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(0.35,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(0.37, 0.52)</w:t>
            </w:r>
          </w:p>
        </w:tc>
      </w:tr>
      <w:tr>
        <w:trPr>
          <w:cantSplit/>
        </w:trPr>
        <w:tc>
          <w:tcPr>
            <w:gridSpan w:val="7"/>
          </w:tcPr>
          <w:p>
            <w:pPr>
              <w:spacing w:before="0" w:after="60"/>
              <w:keepNext/>
            </w:pPr>
            <w:r>
              <w:rPr>
                <w:rFonts w:ascii="Calibri" w:hAnsi="Calibri"/>
                <w:sz w:val="20"/>
              </w:rPr>
              <w:t xml:space="default">Prevalence Ratio (95% CI). All models include Region as a second-order covariate.</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Region as second-order covariate only.</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2026-02-10T14:02:28Z</dcterms:created>
  <dcterms:modified xsi:type="dcterms:W3CDTF">2026-02-10T14:02:28Z</dcterms:modified>
</cp:coreProperties>
</file>

<file path=docProps/custom.xml><?xml version="1.0" encoding="utf-8"?>
<Properties xmlns="http://schemas.openxmlformats.org/officeDocument/2006/custom-properties" xmlns:vt="http://schemas.openxmlformats.org/officeDocument/2006/docPropsVTypes"/>
</file>