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Support from superiors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6,793)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9,070)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10,974)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11,732)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(47.5-51.6)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(51.5-53.9)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(50.8-52.9)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(45.0-52.4)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(50.3-52.2)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(50.2-52.0)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43.8% (39.1-48.6)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47.8% (44.8-50.8)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(44.0-49.1)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44.3% (38.0-50.7)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48.9% (46.4-51.4)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(46.0-50.6)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43.5% (39.8-47.3)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49.3% (47.2-51.4)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47.9% (46.1-49.7)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46.1% (39.4-53.0)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(46.8-49.9)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(46.8-49.7)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(45.8-55.3)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(49.3-54.6)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(49.2-53.8)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53.1% (45.5-60.6)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(50.1-53.5)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(50.2-53.5)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(55.0-62.6)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(57.4-61.8)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(57.4-61.2)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(47.4-68.3)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59.1% (56.8-61.4)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(56.9-61.4)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47.4% (43.3-51.5)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(50.7-54.6)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(49.7-53.3)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(40.5-52.6)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51.3% (49.6-52.9)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50.9% (49.4-52.5)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50.3% (47.9-52.7)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(51.2-54.2)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52.0% (50.7-53.3)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 (45.4-54.6)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(50.1-52.4)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(50.1-52.3)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(47.8-53.1)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53.2% (51.7-54.7)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52.4% (51.1-53.7)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 (45.3-54.7)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(49.7-51.8)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48.1% (44.7-51.4)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(49.9-53.9)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(49.0-52.4)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46.9% (41.2-52.7)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(50.8-54.6)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52.1% (50.3-53.9)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48.9% (46.7-51.1)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(51.0-53.5)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51.3% (50.2-52.4)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46.8% (42.8-50.7)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(49.6-51.6)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(49.5-51.3)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(48.2-60.8)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(53.6-61.7)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(53.1-59.9)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(50.4-70.4)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(55.8-62.8)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(56.4-62.9)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(41.7-51.3)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(47.9-53.6)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(47.1-52.0)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50.3% (42.5-58.1)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52.4% (49.1-55.6)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52.0% (49.0-55.1)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39.6% (34.0-45.4)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 (46.2-53.2)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46.9% (43.9-49.9)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39.4% (30.4-49.3)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48.4% (45.4-51.3)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47.7% (44.8-50.5)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52.3% (49.8-54.8)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53.7% (52.2-55.1)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53.2% (52.0-54.5)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50.1% (45.4-54.8)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(50.4-52.5)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(50.4-52.5)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(48.3-54.7)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53.2% (51.7-54.7)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(51.5-54.1)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(51.2-69.5)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(51.4-54.2)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53.1% (51.7-54.4)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48.1% (45.0-51.3)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52.4% (50.1-54.7)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50.9% (49.0-52.7)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 (34.9-55.8)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49.6% (48.1-51.1)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(48.0-51.0)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48.0% (42.3-53.8)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(44.0-53.4)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48.2% (44.6-51.8)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(42.2-50.9)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(48.2-53.1)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 (47.5-51.8)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48.6% (46.3-50.9)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(50.9-53.5)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(50.0-52.3)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(46.3-54.5)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(49.5-60.5)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55.1% (52.3-58.0)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(52.5-57.6)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40.9% (32.5-49.8)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53.6% (51.4-55.8)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(50.7-54.9)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2026-02-10T13:59:01Z</dcterms:created>
  <dcterms:modified xsi:type="dcterms:W3CDTF">2026-02-10T13:59:01Z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